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903A3" w14:textId="455B0ED2" w:rsidR="00602083" w:rsidRDefault="00B85CD5">
      <w:pPr>
        <w:adjustRightInd w:val="0"/>
        <w:spacing w:line="360" w:lineRule="auto"/>
        <w:ind w:firstLineChars="0" w:firstLine="0"/>
        <w:textAlignment w:val="baseline"/>
        <w:rPr>
          <w:rFonts w:ascii="黑体" w:eastAsia="黑体" w:hAnsi="黑体" w:cs="Times New Roman"/>
          <w:snapToGrid w:val="0"/>
          <w:kern w:val="0"/>
          <w:sz w:val="28"/>
        </w:rPr>
      </w:pPr>
      <w:bookmarkStart w:id="0" w:name="_Hlk94043612"/>
      <w:bookmarkStart w:id="1" w:name="_GoBack"/>
      <w:bookmarkEnd w:id="1"/>
      <w:r>
        <w:rPr>
          <w:rFonts w:eastAsia="仿宋" w:hint="eastAsia"/>
          <w:snapToGrid w:val="0"/>
          <w:sz w:val="24"/>
          <w:szCs w:val="24"/>
        </w:rPr>
        <w:t>编号：</w:t>
      </w:r>
      <w:r>
        <w:rPr>
          <w:rFonts w:eastAsia="仿宋" w:hint="eastAsia"/>
          <w:snapToGrid w:val="0"/>
          <w:sz w:val="24"/>
          <w:szCs w:val="24"/>
        </w:rPr>
        <w:t>0</w:t>
      </w:r>
      <w:r w:rsidR="006079AA">
        <w:rPr>
          <w:rFonts w:eastAsia="仿宋"/>
          <w:snapToGrid w:val="0"/>
          <w:sz w:val="24"/>
          <w:szCs w:val="24"/>
        </w:rPr>
        <w:t>6</w:t>
      </w:r>
      <w:r>
        <w:rPr>
          <w:rFonts w:eastAsia="仿宋"/>
          <w:snapToGrid w:val="0"/>
          <w:sz w:val="24"/>
          <w:szCs w:val="24"/>
        </w:rPr>
        <w:t xml:space="preserve">                                              </w:t>
      </w:r>
      <w:r w:rsidRPr="004074D8">
        <w:rPr>
          <w:rFonts w:eastAsia="仿宋" w:hint="eastAsia"/>
          <w:snapToGrid w:val="0"/>
          <w:sz w:val="24"/>
          <w:szCs w:val="24"/>
        </w:rPr>
        <w:t>未经许可不得它用</w:t>
      </w:r>
      <w:bookmarkEnd w:id="0"/>
    </w:p>
    <w:p w14:paraId="567293BF" w14:textId="77777777" w:rsidR="00B85CD5" w:rsidRDefault="00B85CD5">
      <w:pPr>
        <w:adjustRightInd w:val="0"/>
        <w:spacing w:line="360" w:lineRule="auto"/>
        <w:ind w:firstLineChars="0" w:firstLine="0"/>
        <w:textAlignment w:val="baseline"/>
        <w:rPr>
          <w:rFonts w:ascii="黑体" w:eastAsia="黑体" w:hAnsi="黑体" w:cs="Times New Roman"/>
          <w:snapToGrid w:val="0"/>
          <w:kern w:val="0"/>
          <w:sz w:val="28"/>
        </w:rPr>
      </w:pPr>
    </w:p>
    <w:p w14:paraId="558D8B76" w14:textId="32DCAA00" w:rsidR="00602083" w:rsidRDefault="00E51994">
      <w:pPr>
        <w:adjustRightInd w:val="0"/>
        <w:spacing w:line="360" w:lineRule="auto"/>
        <w:ind w:firstLineChars="0" w:firstLine="0"/>
        <w:textAlignment w:val="baseline"/>
        <w:rPr>
          <w:rFonts w:ascii="黑体" w:eastAsia="黑体" w:hAnsi="黑体" w:cs="Times New Roman"/>
          <w:snapToGrid w:val="0"/>
          <w:kern w:val="0"/>
          <w:sz w:val="28"/>
        </w:rPr>
      </w:pPr>
      <w:r>
        <w:rPr>
          <w:rFonts w:ascii="黑体" w:eastAsia="黑体" w:hAnsi="黑体" w:cs="Times New Roman"/>
          <w:snapToGrid w:val="0"/>
          <w:kern w:val="0"/>
          <w:sz w:val="28"/>
        </w:rPr>
        <w:t>国家信息中心2021年度青年人才基础研究项目</w:t>
      </w:r>
      <w:r>
        <w:rPr>
          <w:rFonts w:ascii="黑体" w:eastAsia="黑体" w:hAnsi="黑体" w:cs="Times New Roman" w:hint="eastAsia"/>
          <w:snapToGrid w:val="0"/>
          <w:kern w:val="0"/>
          <w:sz w:val="28"/>
        </w:rPr>
        <w:t>成果</w:t>
      </w:r>
    </w:p>
    <w:p w14:paraId="322C0276" w14:textId="77777777" w:rsidR="00602083" w:rsidRDefault="00E51994">
      <w:pPr>
        <w:tabs>
          <w:tab w:val="left" w:pos="1041"/>
        </w:tabs>
        <w:adjustRightInd w:val="0"/>
        <w:spacing w:line="360" w:lineRule="auto"/>
        <w:ind w:firstLine="480"/>
        <w:textAlignment w:val="baseline"/>
        <w:rPr>
          <w:rFonts w:eastAsia="宋体" w:cs="Times New Roman"/>
          <w:kern w:val="0"/>
          <w:sz w:val="24"/>
          <w:szCs w:val="30"/>
        </w:rPr>
      </w:pPr>
      <w:r>
        <w:rPr>
          <w:rFonts w:eastAsia="宋体" w:cs="Times New Roman"/>
          <w:kern w:val="0"/>
          <w:sz w:val="24"/>
          <w:szCs w:val="30"/>
        </w:rPr>
        <w:tab/>
      </w:r>
    </w:p>
    <w:p w14:paraId="5D67457A" w14:textId="77777777" w:rsidR="00602083" w:rsidRDefault="00602083">
      <w:pPr>
        <w:tabs>
          <w:tab w:val="left" w:pos="1041"/>
        </w:tabs>
        <w:adjustRightInd w:val="0"/>
        <w:spacing w:line="360" w:lineRule="auto"/>
        <w:ind w:firstLine="480"/>
        <w:textAlignment w:val="baseline"/>
        <w:rPr>
          <w:rFonts w:eastAsia="宋体" w:cs="Times New Roman"/>
          <w:kern w:val="0"/>
          <w:sz w:val="24"/>
          <w:szCs w:val="30"/>
        </w:rPr>
      </w:pPr>
    </w:p>
    <w:p w14:paraId="5DE146A4" w14:textId="77777777" w:rsidR="00602083" w:rsidRDefault="00602083">
      <w:pPr>
        <w:tabs>
          <w:tab w:val="left" w:pos="1041"/>
        </w:tabs>
        <w:adjustRightInd w:val="0"/>
        <w:spacing w:line="360" w:lineRule="auto"/>
        <w:ind w:firstLine="480"/>
        <w:textAlignment w:val="baseline"/>
        <w:rPr>
          <w:rFonts w:eastAsia="宋体" w:cs="Times New Roman"/>
          <w:kern w:val="0"/>
          <w:sz w:val="24"/>
          <w:szCs w:val="30"/>
        </w:rPr>
      </w:pPr>
    </w:p>
    <w:p w14:paraId="265FDBF2" w14:textId="77777777" w:rsidR="00602083" w:rsidRDefault="00602083">
      <w:pPr>
        <w:tabs>
          <w:tab w:val="left" w:pos="1041"/>
        </w:tabs>
        <w:adjustRightInd w:val="0"/>
        <w:spacing w:line="360" w:lineRule="auto"/>
        <w:ind w:firstLineChars="626" w:firstLine="1502"/>
        <w:textAlignment w:val="baseline"/>
        <w:rPr>
          <w:rFonts w:eastAsia="宋体" w:cs="Times New Roman"/>
          <w:kern w:val="0"/>
          <w:sz w:val="24"/>
          <w:szCs w:val="44"/>
        </w:rPr>
      </w:pPr>
    </w:p>
    <w:p w14:paraId="468588A3" w14:textId="77777777" w:rsidR="00602083" w:rsidRDefault="00602083">
      <w:pPr>
        <w:tabs>
          <w:tab w:val="left" w:pos="1041"/>
        </w:tabs>
        <w:adjustRightInd w:val="0"/>
        <w:spacing w:line="360" w:lineRule="auto"/>
        <w:ind w:firstLineChars="626" w:firstLine="1502"/>
        <w:textAlignment w:val="baseline"/>
        <w:rPr>
          <w:rFonts w:eastAsia="宋体" w:cs="Times New Roman"/>
          <w:kern w:val="0"/>
          <w:sz w:val="24"/>
          <w:szCs w:val="44"/>
        </w:rPr>
      </w:pPr>
    </w:p>
    <w:p w14:paraId="0BD7B820" w14:textId="77777777" w:rsidR="00602083" w:rsidRDefault="00E51994">
      <w:pPr>
        <w:pStyle w:val="1"/>
      </w:pPr>
      <w:bookmarkStart w:id="2" w:name="_Hlk92623455"/>
      <w:bookmarkStart w:id="3" w:name="_Toc93841279"/>
      <w:bookmarkStart w:id="4" w:name="_Toc93925263"/>
      <w:r>
        <w:rPr>
          <w:rFonts w:hint="eastAsia"/>
        </w:rPr>
        <w:t>数字经济对就业与收入分配的影响研究</w:t>
      </w:r>
      <w:bookmarkEnd w:id="2"/>
      <w:bookmarkEnd w:id="3"/>
      <w:bookmarkEnd w:id="4"/>
    </w:p>
    <w:p w14:paraId="6DBF4E1B" w14:textId="77777777" w:rsidR="00602083" w:rsidRDefault="00602083">
      <w:pPr>
        <w:tabs>
          <w:tab w:val="left" w:pos="1041"/>
        </w:tabs>
        <w:adjustRightInd w:val="0"/>
        <w:spacing w:line="360" w:lineRule="auto"/>
        <w:ind w:firstLine="480"/>
        <w:jc w:val="center"/>
        <w:textAlignment w:val="baseline"/>
        <w:rPr>
          <w:rFonts w:eastAsia="宋体" w:cs="Times New Roman"/>
          <w:kern w:val="0"/>
          <w:sz w:val="24"/>
          <w:szCs w:val="36"/>
        </w:rPr>
      </w:pPr>
    </w:p>
    <w:p w14:paraId="5F2461A2" w14:textId="77777777" w:rsidR="00602083" w:rsidRDefault="00602083">
      <w:pPr>
        <w:tabs>
          <w:tab w:val="left" w:pos="1041"/>
        </w:tabs>
        <w:adjustRightInd w:val="0"/>
        <w:spacing w:line="360" w:lineRule="auto"/>
        <w:ind w:firstLine="480"/>
        <w:jc w:val="center"/>
        <w:textAlignment w:val="baseline"/>
        <w:rPr>
          <w:rFonts w:eastAsia="宋体" w:cs="Times New Roman"/>
          <w:kern w:val="0"/>
          <w:sz w:val="24"/>
          <w:szCs w:val="36"/>
        </w:rPr>
      </w:pPr>
    </w:p>
    <w:p w14:paraId="11C27F90" w14:textId="77777777" w:rsidR="00602083" w:rsidRDefault="00602083">
      <w:pPr>
        <w:tabs>
          <w:tab w:val="left" w:pos="1041"/>
        </w:tabs>
        <w:adjustRightInd w:val="0"/>
        <w:spacing w:line="360" w:lineRule="auto"/>
        <w:ind w:firstLine="480"/>
        <w:jc w:val="center"/>
        <w:textAlignment w:val="baseline"/>
        <w:rPr>
          <w:rFonts w:eastAsia="宋体" w:cs="Times New Roman"/>
          <w:kern w:val="0"/>
          <w:sz w:val="24"/>
          <w:szCs w:val="36"/>
        </w:rPr>
      </w:pPr>
    </w:p>
    <w:p w14:paraId="6DA46684" w14:textId="77777777" w:rsidR="00602083" w:rsidRDefault="00602083">
      <w:pPr>
        <w:tabs>
          <w:tab w:val="left" w:pos="1041"/>
        </w:tabs>
        <w:adjustRightInd w:val="0"/>
        <w:spacing w:line="360" w:lineRule="auto"/>
        <w:ind w:firstLine="480"/>
        <w:jc w:val="center"/>
        <w:textAlignment w:val="baseline"/>
        <w:rPr>
          <w:rFonts w:eastAsia="宋体" w:cs="Times New Roman"/>
          <w:kern w:val="0"/>
          <w:sz w:val="24"/>
          <w:szCs w:val="36"/>
        </w:rPr>
      </w:pPr>
    </w:p>
    <w:p w14:paraId="56FDC06D" w14:textId="77777777" w:rsidR="00602083" w:rsidRDefault="00602083">
      <w:pPr>
        <w:tabs>
          <w:tab w:val="left" w:pos="1041"/>
        </w:tabs>
        <w:adjustRightInd w:val="0"/>
        <w:spacing w:line="360" w:lineRule="auto"/>
        <w:ind w:firstLine="480"/>
        <w:jc w:val="center"/>
        <w:textAlignment w:val="baseline"/>
        <w:rPr>
          <w:rFonts w:eastAsia="宋体" w:cs="Times New Roman"/>
          <w:kern w:val="0"/>
          <w:sz w:val="24"/>
          <w:szCs w:val="36"/>
        </w:rPr>
      </w:pPr>
    </w:p>
    <w:p w14:paraId="5FCBF3C8" w14:textId="77777777" w:rsidR="00602083" w:rsidRDefault="00602083">
      <w:pPr>
        <w:tabs>
          <w:tab w:val="left" w:pos="1041"/>
        </w:tabs>
        <w:adjustRightInd w:val="0"/>
        <w:spacing w:line="360" w:lineRule="auto"/>
        <w:ind w:firstLine="480"/>
        <w:jc w:val="center"/>
        <w:textAlignment w:val="baseline"/>
        <w:rPr>
          <w:rFonts w:eastAsia="宋体" w:cs="Times New Roman"/>
          <w:kern w:val="0"/>
          <w:sz w:val="24"/>
          <w:szCs w:val="36"/>
        </w:rPr>
      </w:pPr>
    </w:p>
    <w:p w14:paraId="2E5425DC" w14:textId="77777777" w:rsidR="00602083" w:rsidRDefault="00602083">
      <w:pPr>
        <w:pStyle w:val="a1"/>
        <w:ind w:firstLine="600"/>
      </w:pPr>
    </w:p>
    <w:p w14:paraId="6D3D3978" w14:textId="77777777" w:rsidR="00602083" w:rsidRDefault="00602083">
      <w:pPr>
        <w:pStyle w:val="a1"/>
        <w:ind w:firstLine="600"/>
      </w:pPr>
    </w:p>
    <w:p w14:paraId="60D2948C" w14:textId="77777777" w:rsidR="00602083" w:rsidRDefault="00602083">
      <w:pPr>
        <w:pStyle w:val="a1"/>
        <w:ind w:firstLine="600"/>
      </w:pPr>
    </w:p>
    <w:p w14:paraId="0999A4B1" w14:textId="77777777" w:rsidR="00602083" w:rsidRDefault="00602083">
      <w:pPr>
        <w:tabs>
          <w:tab w:val="left" w:pos="1041"/>
        </w:tabs>
        <w:adjustRightInd w:val="0"/>
        <w:spacing w:line="360" w:lineRule="auto"/>
        <w:ind w:firstLine="480"/>
        <w:jc w:val="center"/>
        <w:textAlignment w:val="baseline"/>
        <w:rPr>
          <w:rFonts w:eastAsia="宋体" w:cs="Times New Roman"/>
          <w:kern w:val="0"/>
          <w:sz w:val="24"/>
          <w:szCs w:val="36"/>
        </w:rPr>
      </w:pPr>
    </w:p>
    <w:p w14:paraId="664FC801" w14:textId="77777777" w:rsidR="00602083" w:rsidRDefault="00602083">
      <w:pPr>
        <w:pStyle w:val="a1"/>
        <w:ind w:firstLine="600"/>
      </w:pPr>
    </w:p>
    <w:p w14:paraId="1DB8C6ED" w14:textId="77777777" w:rsidR="00602083" w:rsidRDefault="00602083">
      <w:pPr>
        <w:spacing w:line="360" w:lineRule="auto"/>
        <w:ind w:firstLineChars="600" w:firstLine="1440"/>
        <w:rPr>
          <w:rFonts w:eastAsia="宋体" w:cs="Times New Roman"/>
          <w:snapToGrid w:val="0"/>
          <w:kern w:val="0"/>
          <w:sz w:val="24"/>
        </w:rPr>
      </w:pPr>
    </w:p>
    <w:p w14:paraId="54B42F8A" w14:textId="77777777" w:rsidR="00602083" w:rsidRDefault="00602083">
      <w:pPr>
        <w:spacing w:line="360" w:lineRule="auto"/>
        <w:ind w:firstLineChars="600" w:firstLine="1440"/>
        <w:rPr>
          <w:rFonts w:eastAsia="宋体" w:cs="Times New Roman"/>
          <w:snapToGrid w:val="0"/>
          <w:kern w:val="0"/>
          <w:sz w:val="24"/>
        </w:rPr>
      </w:pPr>
    </w:p>
    <w:p w14:paraId="1F9098E0" w14:textId="77777777" w:rsidR="00602083" w:rsidRDefault="00602083">
      <w:pPr>
        <w:spacing w:line="360" w:lineRule="auto"/>
        <w:ind w:firstLineChars="600" w:firstLine="1440"/>
        <w:rPr>
          <w:rFonts w:eastAsia="宋体" w:cs="Times New Roman"/>
          <w:snapToGrid w:val="0"/>
          <w:kern w:val="0"/>
          <w:sz w:val="24"/>
        </w:rPr>
      </w:pPr>
    </w:p>
    <w:p w14:paraId="094597C1" w14:textId="77777777" w:rsidR="00602083" w:rsidRDefault="00E51994">
      <w:pPr>
        <w:spacing w:line="360" w:lineRule="auto"/>
        <w:ind w:leftChars="500" w:left="1500" w:firstLineChars="0" w:firstLine="0"/>
        <w:jc w:val="left"/>
        <w:rPr>
          <w:rFonts w:ascii="楷体_GB2312" w:eastAsia="楷体_GB2312" w:cs="Times New Roman"/>
          <w:snapToGrid w:val="0"/>
          <w:kern w:val="0"/>
          <w:sz w:val="32"/>
          <w:szCs w:val="32"/>
        </w:rPr>
      </w:pPr>
      <w:r>
        <w:rPr>
          <w:rFonts w:ascii="楷体_GB2312" w:eastAsia="楷体_GB2312" w:cs="Times New Roman" w:hint="eastAsia"/>
          <w:snapToGrid w:val="0"/>
          <w:kern w:val="0"/>
          <w:sz w:val="32"/>
          <w:szCs w:val="32"/>
        </w:rPr>
        <w:t>部      门：信息化和产业发展部</w:t>
      </w:r>
    </w:p>
    <w:p w14:paraId="4DDB7A70" w14:textId="77777777" w:rsidR="00602083" w:rsidRDefault="00E51994">
      <w:pPr>
        <w:spacing w:line="360" w:lineRule="auto"/>
        <w:ind w:leftChars="500" w:left="1500" w:firstLineChars="0" w:firstLine="0"/>
        <w:jc w:val="left"/>
        <w:rPr>
          <w:rFonts w:ascii="楷体_GB2312" w:eastAsia="楷体_GB2312" w:cs="Times New Roman"/>
          <w:b/>
          <w:bCs/>
          <w:snapToGrid w:val="0"/>
          <w:kern w:val="0"/>
          <w:sz w:val="32"/>
          <w:szCs w:val="32"/>
        </w:rPr>
      </w:pPr>
      <w:r>
        <w:rPr>
          <w:rFonts w:ascii="楷体_GB2312" w:eastAsia="楷体_GB2312" w:cs="Times New Roman" w:hint="eastAsia"/>
          <w:snapToGrid w:val="0"/>
          <w:kern w:val="0"/>
          <w:sz w:val="32"/>
          <w:szCs w:val="32"/>
        </w:rPr>
        <w:t>项目负责人：胡拥军</w:t>
      </w:r>
    </w:p>
    <w:p w14:paraId="77F504C8" w14:textId="77777777" w:rsidR="00602083" w:rsidRDefault="00E51994">
      <w:pPr>
        <w:widowControl/>
        <w:spacing w:line="360" w:lineRule="auto"/>
        <w:ind w:firstLine="480"/>
        <w:jc w:val="left"/>
        <w:rPr>
          <w:rFonts w:eastAsia="宋体" w:cs="Times New Roman"/>
          <w:kern w:val="0"/>
          <w:sz w:val="24"/>
          <w:szCs w:val="21"/>
        </w:rPr>
      </w:pPr>
      <w:r>
        <w:rPr>
          <w:rFonts w:eastAsia="宋体" w:cs="Times New Roman"/>
          <w:kern w:val="0"/>
          <w:sz w:val="24"/>
          <w:szCs w:val="21"/>
        </w:rPr>
        <w:br w:type="page"/>
      </w:r>
    </w:p>
    <w:p w14:paraId="0DC574A8" w14:textId="77777777" w:rsidR="00602083" w:rsidRDefault="00602083">
      <w:pPr>
        <w:pStyle w:val="a1"/>
        <w:ind w:firstLine="600"/>
        <w:sectPr w:rsidR="00602083">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nextColumn"/>
          <w:pgSz w:w="11906" w:h="16838"/>
          <w:pgMar w:top="1554" w:right="1588" w:bottom="1440" w:left="1588" w:header="1021" w:footer="992" w:gutter="0"/>
          <w:cols w:space="425"/>
          <w:docGrid w:linePitch="414"/>
        </w:sectPr>
      </w:pPr>
    </w:p>
    <w:sdt>
      <w:sdtPr>
        <w:rPr>
          <w:rFonts w:ascii="Times New Roman" w:eastAsia="方正仿宋_GBK" w:hAnsi="Times New Roman" w:cs="宋体"/>
          <w:color w:val="auto"/>
          <w:kern w:val="2"/>
          <w:sz w:val="30"/>
          <w:szCs w:val="28"/>
          <w:lang w:val="zh-CN"/>
        </w:rPr>
        <w:id w:val="-817561420"/>
        <w:docPartObj>
          <w:docPartGallery w:val="Table of Contents"/>
          <w:docPartUnique/>
        </w:docPartObj>
      </w:sdtPr>
      <w:sdtEndPr>
        <w:rPr>
          <w:b/>
          <w:bCs/>
        </w:rPr>
      </w:sdtEndPr>
      <w:sdtContent>
        <w:p w14:paraId="6B18F837" w14:textId="77777777" w:rsidR="00602083" w:rsidRDefault="00E51994">
          <w:pPr>
            <w:pStyle w:val="TOC40"/>
            <w:spacing w:before="120" w:after="120"/>
            <w:ind w:firstLine="562"/>
            <w:jc w:val="center"/>
            <w:rPr>
              <w:rFonts w:ascii="黑体" w:eastAsia="黑体" w:hAnsi="黑体"/>
              <w:color w:val="auto"/>
              <w:sz w:val="28"/>
              <w:szCs w:val="28"/>
            </w:rPr>
          </w:pPr>
          <w:r>
            <w:rPr>
              <w:rFonts w:ascii="黑体" w:eastAsia="黑体" w:hAnsi="黑体"/>
              <w:color w:val="auto"/>
              <w:sz w:val="28"/>
              <w:szCs w:val="28"/>
              <w:lang w:val="zh-CN"/>
            </w:rPr>
            <w:t>目</w:t>
          </w:r>
          <w:r>
            <w:rPr>
              <w:rFonts w:ascii="黑体" w:eastAsia="黑体" w:hAnsi="黑体" w:hint="eastAsia"/>
              <w:color w:val="auto"/>
              <w:sz w:val="28"/>
              <w:szCs w:val="28"/>
              <w:lang w:val="zh-CN"/>
            </w:rPr>
            <w:t xml:space="preserve"> </w:t>
          </w:r>
          <w:r>
            <w:rPr>
              <w:rFonts w:ascii="黑体" w:eastAsia="黑体" w:hAnsi="黑体"/>
              <w:color w:val="auto"/>
              <w:sz w:val="28"/>
              <w:szCs w:val="28"/>
              <w:lang w:val="zh-CN"/>
            </w:rPr>
            <w:t xml:space="preserve"> 录</w:t>
          </w:r>
        </w:p>
        <w:p w14:paraId="37F7561C" w14:textId="77777777" w:rsidR="00602083" w:rsidRDefault="00E51994">
          <w:pPr>
            <w:pStyle w:val="TOC1"/>
            <w:tabs>
              <w:tab w:val="right" w:leader="dot" w:pos="8720"/>
            </w:tabs>
            <w:spacing w:line="440" w:lineRule="exact"/>
            <w:rPr>
              <w:rFonts w:ascii="黑体" w:eastAsia="黑体" w:hAnsi="黑体" w:cstheme="minorBidi"/>
              <w:b w:val="0"/>
              <w:kern w:val="2"/>
              <w:szCs w:val="24"/>
            </w:rPr>
          </w:pPr>
          <w:r>
            <w:fldChar w:fldCharType="begin"/>
          </w:r>
          <w:r>
            <w:instrText xml:space="preserve"> TOC \o "1-3" \h \z \u </w:instrText>
          </w:r>
          <w:r>
            <w:fldChar w:fldCharType="separate"/>
          </w:r>
        </w:p>
        <w:p w14:paraId="26AF3B07" w14:textId="77777777" w:rsidR="00602083" w:rsidRDefault="00CF6509">
          <w:pPr>
            <w:pStyle w:val="TOC2"/>
            <w:tabs>
              <w:tab w:val="right" w:leader="dot" w:pos="8720"/>
            </w:tabs>
            <w:spacing w:line="440" w:lineRule="exact"/>
            <w:ind w:left="600"/>
            <w:rPr>
              <w:rFonts w:ascii="黑体" w:eastAsia="黑体" w:hAnsi="黑体" w:cstheme="minorBidi"/>
              <w:smallCaps w:val="0"/>
              <w:kern w:val="2"/>
            </w:rPr>
          </w:pPr>
          <w:hyperlink w:anchor="_Toc93925264" w:history="1">
            <w:r w:rsidR="00E51994">
              <w:rPr>
                <w:rStyle w:val="aff3"/>
                <w:rFonts w:ascii="黑体" w:eastAsia="黑体" w:hAnsi="黑体"/>
              </w:rPr>
              <w:t>一、数字经济发展与就业收入分配的现状</w:t>
            </w:r>
            <w:r w:rsidR="00E51994">
              <w:rPr>
                <w:rFonts w:ascii="黑体" w:eastAsia="黑体" w:hAnsi="黑体"/>
              </w:rPr>
              <w:tab/>
            </w:r>
            <w:r w:rsidR="00E51994">
              <w:rPr>
                <w:rFonts w:ascii="黑体" w:eastAsia="黑体" w:hAnsi="黑体"/>
              </w:rPr>
              <w:fldChar w:fldCharType="begin"/>
            </w:r>
            <w:r w:rsidR="00E51994">
              <w:rPr>
                <w:rFonts w:ascii="黑体" w:eastAsia="黑体" w:hAnsi="黑体"/>
              </w:rPr>
              <w:instrText xml:space="preserve"> PAGEREF _Toc93925264 \h </w:instrText>
            </w:r>
            <w:r w:rsidR="00E51994">
              <w:rPr>
                <w:rFonts w:ascii="黑体" w:eastAsia="黑体" w:hAnsi="黑体"/>
              </w:rPr>
            </w:r>
            <w:r w:rsidR="00E51994">
              <w:rPr>
                <w:rFonts w:ascii="黑体" w:eastAsia="黑体" w:hAnsi="黑体"/>
              </w:rPr>
              <w:fldChar w:fldCharType="separate"/>
            </w:r>
            <w:r w:rsidR="00E51994">
              <w:rPr>
                <w:rFonts w:ascii="黑体" w:eastAsia="黑体" w:hAnsi="黑体"/>
              </w:rPr>
              <w:t>4</w:t>
            </w:r>
            <w:r w:rsidR="00E51994">
              <w:rPr>
                <w:rFonts w:ascii="黑体" w:eastAsia="黑体" w:hAnsi="黑体"/>
              </w:rPr>
              <w:fldChar w:fldCharType="end"/>
            </w:r>
          </w:hyperlink>
        </w:p>
        <w:p w14:paraId="2B7840A1"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65" w:history="1">
            <w:r w:rsidR="00E51994">
              <w:rPr>
                <w:rStyle w:val="aff3"/>
                <w:rFonts w:ascii="楷体" w:eastAsia="楷体" w:hAnsi="楷体"/>
                <w:sz w:val="24"/>
                <w:szCs w:val="24"/>
              </w:rPr>
              <w:t>（一）数字经济呈现蓬勃发展态势</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_Toc93925265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w:t>
            </w:r>
            <w:r w:rsidR="00E51994">
              <w:rPr>
                <w:rFonts w:ascii="楷体" w:eastAsia="楷体" w:hAnsi="楷体"/>
                <w:sz w:val="24"/>
                <w:szCs w:val="24"/>
              </w:rPr>
              <w:fldChar w:fldCharType="end"/>
            </w:r>
          </w:hyperlink>
        </w:p>
        <w:p w14:paraId="3F542619"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66" w:history="1">
            <w:r w:rsidR="00E51994">
              <w:rPr>
                <w:rStyle w:val="aff3"/>
                <w:rFonts w:ascii="楷体" w:eastAsia="楷体" w:hAnsi="楷体"/>
                <w:sz w:val="24"/>
                <w:szCs w:val="24"/>
              </w:rPr>
              <w:t>（二）数字经济是就业形势紧平衡的新变量</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_Toc93925266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5</w:t>
            </w:r>
            <w:r w:rsidR="00E51994">
              <w:rPr>
                <w:rFonts w:ascii="楷体" w:eastAsia="楷体" w:hAnsi="楷体"/>
                <w:sz w:val="24"/>
                <w:szCs w:val="24"/>
              </w:rPr>
              <w:fldChar w:fldCharType="end"/>
            </w:r>
          </w:hyperlink>
        </w:p>
        <w:p w14:paraId="1A465D1C"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67" w:history="1">
            <w:r w:rsidR="00E51994">
              <w:rPr>
                <w:rStyle w:val="aff3"/>
                <w:rFonts w:ascii="楷体" w:eastAsia="楷体" w:hAnsi="楷体"/>
                <w:sz w:val="24"/>
                <w:szCs w:val="24"/>
              </w:rPr>
              <w:t>（三）数字经济是影响收入分配格局新要素</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_Toc93925267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6</w:t>
            </w:r>
            <w:r w:rsidR="00E51994">
              <w:rPr>
                <w:rFonts w:ascii="楷体" w:eastAsia="楷体" w:hAnsi="楷体"/>
                <w:sz w:val="24"/>
                <w:szCs w:val="24"/>
              </w:rPr>
              <w:fldChar w:fldCharType="end"/>
            </w:r>
          </w:hyperlink>
        </w:p>
        <w:p w14:paraId="186EAE5A" w14:textId="77777777" w:rsidR="00602083" w:rsidRDefault="00CF6509">
          <w:pPr>
            <w:pStyle w:val="TOC2"/>
            <w:tabs>
              <w:tab w:val="right" w:leader="dot" w:pos="8720"/>
            </w:tabs>
            <w:spacing w:line="440" w:lineRule="exact"/>
            <w:ind w:left="600"/>
            <w:rPr>
              <w:rFonts w:ascii="黑体" w:eastAsia="黑体" w:hAnsi="黑体" w:cstheme="minorBidi"/>
              <w:smallCaps w:val="0"/>
              <w:kern w:val="2"/>
            </w:rPr>
          </w:pPr>
          <w:hyperlink w:anchor="_Toc93925268" w:history="1">
            <w:r w:rsidR="00E51994">
              <w:rPr>
                <w:rStyle w:val="aff3"/>
                <w:rFonts w:ascii="黑体" w:eastAsia="黑体" w:hAnsi="黑体"/>
              </w:rPr>
              <w:t>二、数字经济影响就业与收入分配的机制机理</w:t>
            </w:r>
            <w:r w:rsidR="00E51994">
              <w:rPr>
                <w:rFonts w:ascii="黑体" w:eastAsia="黑体" w:hAnsi="黑体"/>
              </w:rPr>
              <w:tab/>
            </w:r>
            <w:r w:rsidR="00E51994">
              <w:rPr>
                <w:rFonts w:ascii="黑体" w:eastAsia="黑体" w:hAnsi="黑体"/>
              </w:rPr>
              <w:fldChar w:fldCharType="begin"/>
            </w:r>
            <w:r w:rsidR="00E51994">
              <w:rPr>
                <w:rFonts w:ascii="黑体" w:eastAsia="黑体" w:hAnsi="黑体"/>
              </w:rPr>
              <w:instrText xml:space="preserve"> PAGEREF _Toc93925268 \h </w:instrText>
            </w:r>
            <w:r w:rsidR="00E51994">
              <w:rPr>
                <w:rFonts w:ascii="黑体" w:eastAsia="黑体" w:hAnsi="黑体"/>
              </w:rPr>
            </w:r>
            <w:r w:rsidR="00E51994">
              <w:rPr>
                <w:rFonts w:ascii="黑体" w:eastAsia="黑体" w:hAnsi="黑体"/>
              </w:rPr>
              <w:fldChar w:fldCharType="separate"/>
            </w:r>
            <w:r w:rsidR="00E51994">
              <w:rPr>
                <w:rFonts w:ascii="黑体" w:eastAsia="黑体" w:hAnsi="黑体"/>
              </w:rPr>
              <w:t>7</w:t>
            </w:r>
            <w:r w:rsidR="00E51994">
              <w:rPr>
                <w:rFonts w:ascii="黑体" w:eastAsia="黑体" w:hAnsi="黑体"/>
              </w:rPr>
              <w:fldChar w:fldCharType="end"/>
            </w:r>
          </w:hyperlink>
        </w:p>
        <w:p w14:paraId="6923687E"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69" w:history="1">
            <w:r w:rsidR="00E51994">
              <w:rPr>
                <w:rStyle w:val="aff3"/>
                <w:rFonts w:ascii="楷体" w:eastAsia="楷体" w:hAnsi="楷体"/>
                <w:sz w:val="24"/>
                <w:szCs w:val="24"/>
              </w:rPr>
              <w:t>（一）数字经济影响就业的机制机理</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_Toc93925269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7</w:t>
            </w:r>
            <w:r w:rsidR="00E51994">
              <w:rPr>
                <w:rFonts w:ascii="楷体" w:eastAsia="楷体" w:hAnsi="楷体"/>
                <w:sz w:val="24"/>
                <w:szCs w:val="24"/>
              </w:rPr>
              <w:fldChar w:fldCharType="end"/>
            </w:r>
          </w:hyperlink>
        </w:p>
        <w:p w14:paraId="0E6C93A7" w14:textId="77777777" w:rsidR="00602083" w:rsidRDefault="00CF6509">
          <w:pPr>
            <w:pStyle w:val="TOC3"/>
            <w:tabs>
              <w:tab w:val="right" w:leader="dot" w:pos="8720"/>
            </w:tabs>
            <w:spacing w:line="440" w:lineRule="exact"/>
            <w:ind w:left="1200"/>
            <w:rPr>
              <w:rFonts w:ascii="黑体" w:eastAsia="黑体" w:hAnsi="黑体" w:cstheme="minorBidi"/>
              <w:kern w:val="2"/>
              <w:sz w:val="24"/>
              <w:szCs w:val="24"/>
            </w:rPr>
          </w:pPr>
          <w:hyperlink w:anchor="_Toc93925270" w:history="1">
            <w:r w:rsidR="00E51994">
              <w:rPr>
                <w:rStyle w:val="aff3"/>
                <w:rFonts w:ascii="楷体" w:eastAsia="楷体" w:hAnsi="楷体"/>
                <w:sz w:val="24"/>
                <w:szCs w:val="24"/>
              </w:rPr>
              <w:t>（二）数字经济影响收入分配的机制机理</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_Toc93925270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13</w:t>
            </w:r>
            <w:r w:rsidR="00E51994">
              <w:rPr>
                <w:rFonts w:ascii="楷体" w:eastAsia="楷体" w:hAnsi="楷体"/>
                <w:sz w:val="24"/>
                <w:szCs w:val="24"/>
              </w:rPr>
              <w:fldChar w:fldCharType="end"/>
            </w:r>
          </w:hyperlink>
        </w:p>
        <w:p w14:paraId="76691407" w14:textId="77777777" w:rsidR="00602083" w:rsidRDefault="00CF6509">
          <w:pPr>
            <w:pStyle w:val="TOC2"/>
            <w:tabs>
              <w:tab w:val="right" w:leader="dot" w:pos="8720"/>
            </w:tabs>
            <w:spacing w:line="440" w:lineRule="exact"/>
            <w:ind w:left="600"/>
            <w:rPr>
              <w:rFonts w:ascii="黑体" w:eastAsia="黑体" w:hAnsi="黑体" w:cstheme="minorBidi"/>
              <w:smallCaps w:val="0"/>
              <w:kern w:val="2"/>
            </w:rPr>
          </w:pPr>
          <w:hyperlink w:anchor="_Toc93925271" w:history="1">
            <w:r w:rsidR="00E51994">
              <w:rPr>
                <w:rStyle w:val="aff3"/>
                <w:rFonts w:ascii="黑体" w:eastAsia="黑体" w:hAnsi="黑体"/>
              </w:rPr>
              <w:t>三、数字经济对就业与收入分配的实际影响</w:t>
            </w:r>
            <w:r w:rsidR="00E51994">
              <w:rPr>
                <w:rFonts w:ascii="黑体" w:eastAsia="黑体" w:hAnsi="黑体"/>
              </w:rPr>
              <w:tab/>
            </w:r>
            <w:r w:rsidR="00E51994">
              <w:rPr>
                <w:rFonts w:ascii="黑体" w:eastAsia="黑体" w:hAnsi="黑体"/>
              </w:rPr>
              <w:fldChar w:fldCharType="begin"/>
            </w:r>
            <w:r w:rsidR="00E51994">
              <w:rPr>
                <w:rFonts w:ascii="黑体" w:eastAsia="黑体" w:hAnsi="黑体"/>
              </w:rPr>
              <w:instrText xml:space="preserve"> PAGEREF _Toc93925271 \h </w:instrText>
            </w:r>
            <w:r w:rsidR="00E51994">
              <w:rPr>
                <w:rFonts w:ascii="黑体" w:eastAsia="黑体" w:hAnsi="黑体"/>
              </w:rPr>
            </w:r>
            <w:r w:rsidR="00E51994">
              <w:rPr>
                <w:rFonts w:ascii="黑体" w:eastAsia="黑体" w:hAnsi="黑体"/>
              </w:rPr>
              <w:fldChar w:fldCharType="separate"/>
            </w:r>
            <w:r w:rsidR="00E51994">
              <w:rPr>
                <w:rFonts w:ascii="黑体" w:eastAsia="黑体" w:hAnsi="黑体"/>
              </w:rPr>
              <w:t>20</w:t>
            </w:r>
            <w:r w:rsidR="00E51994">
              <w:rPr>
                <w:rFonts w:ascii="黑体" w:eastAsia="黑体" w:hAnsi="黑体"/>
              </w:rPr>
              <w:fldChar w:fldCharType="end"/>
            </w:r>
          </w:hyperlink>
        </w:p>
        <w:p w14:paraId="383250BF"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72" w:history="1">
            <w:r w:rsidR="00E51994">
              <w:rPr>
                <w:rStyle w:val="aff3"/>
                <w:rFonts w:ascii="楷体" w:eastAsia="楷体" w:hAnsi="楷体"/>
                <w:sz w:val="24"/>
                <w:szCs w:val="24"/>
              </w:rPr>
              <w:t>（一）数字经济就业的主要特征</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_Toc93925272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20</w:t>
            </w:r>
            <w:r w:rsidR="00E51994">
              <w:rPr>
                <w:rFonts w:ascii="楷体" w:eastAsia="楷体" w:hAnsi="楷体"/>
                <w:sz w:val="24"/>
                <w:szCs w:val="24"/>
              </w:rPr>
              <w:fldChar w:fldCharType="end"/>
            </w:r>
          </w:hyperlink>
        </w:p>
        <w:p w14:paraId="7D508121"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73" w:history="1">
            <w:r w:rsidR="00E51994">
              <w:rPr>
                <w:rStyle w:val="aff3"/>
                <w:rFonts w:ascii="楷体" w:eastAsia="楷体" w:hAnsi="楷体"/>
                <w:sz w:val="24"/>
                <w:szCs w:val="24"/>
              </w:rPr>
              <w:t>（二）数字经济发展促进就业的积极影响</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_Toc93925273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24</w:t>
            </w:r>
            <w:r w:rsidR="00E51994">
              <w:rPr>
                <w:rFonts w:ascii="楷体" w:eastAsia="楷体" w:hAnsi="楷体"/>
                <w:sz w:val="24"/>
                <w:szCs w:val="24"/>
              </w:rPr>
              <w:fldChar w:fldCharType="end"/>
            </w:r>
          </w:hyperlink>
        </w:p>
        <w:p w14:paraId="1476D5B6"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74" w:history="1">
            <w:r w:rsidR="00E51994">
              <w:rPr>
                <w:rStyle w:val="aff3"/>
                <w:rFonts w:ascii="楷体" w:eastAsia="楷体" w:hAnsi="楷体"/>
                <w:sz w:val="24"/>
                <w:szCs w:val="24"/>
              </w:rPr>
              <w:t>（三）数字经济发展带来的就业替代影响</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_Toc93925274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27</w:t>
            </w:r>
            <w:r w:rsidR="00E51994">
              <w:rPr>
                <w:rFonts w:ascii="楷体" w:eastAsia="楷体" w:hAnsi="楷体"/>
                <w:sz w:val="24"/>
                <w:szCs w:val="24"/>
              </w:rPr>
              <w:fldChar w:fldCharType="end"/>
            </w:r>
          </w:hyperlink>
        </w:p>
        <w:p w14:paraId="2DF1715F"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75" w:history="1">
            <w:r w:rsidR="00E51994">
              <w:rPr>
                <w:rStyle w:val="aff3"/>
                <w:rFonts w:ascii="楷体" w:eastAsia="楷体" w:hAnsi="楷体"/>
                <w:sz w:val="24"/>
                <w:szCs w:val="24"/>
              </w:rPr>
              <w:t>（四）数字经济正在改变传统的收入分配格局</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_Toc93925275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30</w:t>
            </w:r>
            <w:r w:rsidR="00E51994">
              <w:rPr>
                <w:rFonts w:ascii="楷体" w:eastAsia="楷体" w:hAnsi="楷体"/>
                <w:sz w:val="24"/>
                <w:szCs w:val="24"/>
              </w:rPr>
              <w:fldChar w:fldCharType="end"/>
            </w:r>
          </w:hyperlink>
        </w:p>
        <w:p w14:paraId="22972394" w14:textId="77777777" w:rsidR="00602083" w:rsidRDefault="00CF6509">
          <w:pPr>
            <w:pStyle w:val="TOC2"/>
            <w:tabs>
              <w:tab w:val="right" w:leader="dot" w:pos="8720"/>
            </w:tabs>
            <w:spacing w:line="440" w:lineRule="exact"/>
            <w:ind w:left="600"/>
            <w:rPr>
              <w:rFonts w:ascii="黑体" w:eastAsia="黑体" w:hAnsi="黑体" w:cstheme="minorBidi"/>
              <w:smallCaps w:val="0"/>
              <w:kern w:val="2"/>
            </w:rPr>
          </w:pPr>
          <w:hyperlink w:anchor="_Toc93925276" w:history="1">
            <w:r w:rsidR="00E51994">
              <w:rPr>
                <w:rStyle w:val="aff3"/>
                <w:rFonts w:ascii="黑体" w:eastAsia="黑体" w:hAnsi="黑体"/>
              </w:rPr>
              <w:t>四、数字经济促进就业与优化分配面临的问题挑战</w:t>
            </w:r>
            <w:r w:rsidR="00E51994">
              <w:rPr>
                <w:rFonts w:ascii="黑体" w:eastAsia="黑体" w:hAnsi="黑体"/>
              </w:rPr>
              <w:tab/>
            </w:r>
            <w:r w:rsidR="00E51994">
              <w:rPr>
                <w:rFonts w:ascii="黑体" w:eastAsia="黑体" w:hAnsi="黑体"/>
              </w:rPr>
              <w:fldChar w:fldCharType="begin"/>
            </w:r>
            <w:r w:rsidR="00E51994">
              <w:rPr>
                <w:rFonts w:ascii="黑体" w:eastAsia="黑体" w:hAnsi="黑体"/>
              </w:rPr>
              <w:instrText xml:space="preserve"> PAGEREF _Toc93925276 \h </w:instrText>
            </w:r>
            <w:r w:rsidR="00E51994">
              <w:rPr>
                <w:rFonts w:ascii="黑体" w:eastAsia="黑体" w:hAnsi="黑体"/>
              </w:rPr>
            </w:r>
            <w:r w:rsidR="00E51994">
              <w:rPr>
                <w:rFonts w:ascii="黑体" w:eastAsia="黑体" w:hAnsi="黑体"/>
              </w:rPr>
              <w:fldChar w:fldCharType="separate"/>
            </w:r>
            <w:r w:rsidR="00E51994">
              <w:rPr>
                <w:rFonts w:ascii="黑体" w:eastAsia="黑体" w:hAnsi="黑体"/>
              </w:rPr>
              <w:t>32</w:t>
            </w:r>
            <w:r w:rsidR="00E51994">
              <w:rPr>
                <w:rFonts w:ascii="黑体" w:eastAsia="黑体" w:hAnsi="黑体"/>
              </w:rPr>
              <w:fldChar w:fldCharType="end"/>
            </w:r>
          </w:hyperlink>
        </w:p>
        <w:p w14:paraId="1B3CA4FB"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77" w:history="1">
            <w:r w:rsidR="00E51994">
              <w:rPr>
                <w:rStyle w:val="aff3"/>
                <w:rFonts w:ascii="楷体" w:eastAsia="楷体" w:hAnsi="楷体"/>
                <w:sz w:val="24"/>
                <w:szCs w:val="24"/>
              </w:rPr>
              <w:t>（一）数字经济时代劳动制度创新完善亟待推进</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_Toc93925277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32</w:t>
            </w:r>
            <w:r w:rsidR="00E51994">
              <w:rPr>
                <w:rFonts w:ascii="楷体" w:eastAsia="楷体" w:hAnsi="楷体"/>
                <w:sz w:val="24"/>
                <w:szCs w:val="24"/>
              </w:rPr>
              <w:fldChar w:fldCharType="end"/>
            </w:r>
          </w:hyperlink>
        </w:p>
        <w:p w14:paraId="0091FE37"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78" w:history="1">
            <w:r w:rsidR="00E51994">
              <w:rPr>
                <w:rStyle w:val="aff3"/>
                <w:rFonts w:ascii="楷体" w:eastAsia="楷体" w:hAnsi="楷体"/>
                <w:sz w:val="24"/>
                <w:szCs w:val="24"/>
              </w:rPr>
              <w:t>（二）数字经济的劳动力市场供需错配明显</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_Toc93925278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33</w:t>
            </w:r>
            <w:r w:rsidR="00E51994">
              <w:rPr>
                <w:rFonts w:ascii="楷体" w:eastAsia="楷体" w:hAnsi="楷体"/>
                <w:sz w:val="24"/>
                <w:szCs w:val="24"/>
              </w:rPr>
              <w:fldChar w:fldCharType="end"/>
            </w:r>
          </w:hyperlink>
        </w:p>
        <w:p w14:paraId="7BD22CF7"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79" w:history="1">
            <w:r w:rsidR="00E51994">
              <w:rPr>
                <w:rStyle w:val="aff3"/>
                <w:rFonts w:ascii="楷体" w:eastAsia="楷体" w:hAnsi="楷体"/>
                <w:sz w:val="24"/>
                <w:szCs w:val="24"/>
              </w:rPr>
              <w:t>（三）数字经济平台滥用支配地位问题突出</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_Toc93925279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34</w:t>
            </w:r>
            <w:r w:rsidR="00E51994">
              <w:rPr>
                <w:rFonts w:ascii="楷体" w:eastAsia="楷体" w:hAnsi="楷体"/>
                <w:sz w:val="24"/>
                <w:szCs w:val="24"/>
              </w:rPr>
              <w:fldChar w:fldCharType="end"/>
            </w:r>
          </w:hyperlink>
        </w:p>
        <w:p w14:paraId="4913E748"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80" w:history="1">
            <w:r w:rsidR="00E51994">
              <w:rPr>
                <w:rStyle w:val="aff3"/>
                <w:rFonts w:ascii="楷体" w:eastAsia="楷体" w:hAnsi="楷体"/>
                <w:sz w:val="24"/>
                <w:szCs w:val="24"/>
              </w:rPr>
              <w:t>（四）新型就业人员的劳动保障权益严重不足</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_Toc93925280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35</w:t>
            </w:r>
            <w:r w:rsidR="00E51994">
              <w:rPr>
                <w:rFonts w:ascii="楷体" w:eastAsia="楷体" w:hAnsi="楷体"/>
                <w:sz w:val="24"/>
                <w:szCs w:val="24"/>
              </w:rPr>
              <w:fldChar w:fldCharType="end"/>
            </w:r>
          </w:hyperlink>
        </w:p>
        <w:p w14:paraId="1B9C9B96"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81" w:history="1">
            <w:r w:rsidR="00E51994">
              <w:rPr>
                <w:rStyle w:val="aff3"/>
                <w:rFonts w:ascii="楷体" w:eastAsia="楷体" w:hAnsi="楷体"/>
                <w:sz w:val="24"/>
                <w:szCs w:val="24"/>
              </w:rPr>
              <w:t>（五）数字技术的劳动控制引发管理危机</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_Toc93925281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37</w:t>
            </w:r>
            <w:r w:rsidR="00E51994">
              <w:rPr>
                <w:rFonts w:ascii="楷体" w:eastAsia="楷体" w:hAnsi="楷体"/>
                <w:sz w:val="24"/>
                <w:szCs w:val="24"/>
              </w:rPr>
              <w:fldChar w:fldCharType="end"/>
            </w:r>
          </w:hyperlink>
        </w:p>
        <w:p w14:paraId="62098894" w14:textId="77777777" w:rsidR="00602083" w:rsidRDefault="00CF6509">
          <w:pPr>
            <w:pStyle w:val="TOC2"/>
            <w:tabs>
              <w:tab w:val="right" w:leader="dot" w:pos="8720"/>
            </w:tabs>
            <w:spacing w:line="440" w:lineRule="exact"/>
            <w:ind w:left="600"/>
            <w:rPr>
              <w:rFonts w:ascii="黑体" w:eastAsia="黑体" w:hAnsi="黑体" w:cstheme="minorBidi"/>
              <w:smallCaps w:val="0"/>
              <w:kern w:val="2"/>
            </w:rPr>
          </w:pPr>
          <w:hyperlink w:anchor="_Toc93925282" w:history="1">
            <w:r w:rsidR="00E51994">
              <w:rPr>
                <w:rStyle w:val="aff3"/>
                <w:rFonts w:ascii="黑体" w:eastAsia="黑体" w:hAnsi="黑体"/>
              </w:rPr>
              <w:t>五、数字经济对就业与收入分配影响的未来趋势</w:t>
            </w:r>
            <w:r w:rsidR="00E51994">
              <w:rPr>
                <w:rFonts w:ascii="黑体" w:eastAsia="黑体" w:hAnsi="黑体"/>
              </w:rPr>
              <w:tab/>
            </w:r>
            <w:r w:rsidR="00E51994">
              <w:rPr>
                <w:rFonts w:ascii="黑体" w:eastAsia="黑体" w:hAnsi="黑体"/>
              </w:rPr>
              <w:fldChar w:fldCharType="begin"/>
            </w:r>
            <w:r w:rsidR="00E51994">
              <w:rPr>
                <w:rFonts w:ascii="黑体" w:eastAsia="黑体" w:hAnsi="黑体"/>
              </w:rPr>
              <w:instrText xml:space="preserve"> PAGEREF _Toc93925282 \h </w:instrText>
            </w:r>
            <w:r w:rsidR="00E51994">
              <w:rPr>
                <w:rFonts w:ascii="黑体" w:eastAsia="黑体" w:hAnsi="黑体"/>
              </w:rPr>
            </w:r>
            <w:r w:rsidR="00E51994">
              <w:rPr>
                <w:rFonts w:ascii="黑体" w:eastAsia="黑体" w:hAnsi="黑体"/>
              </w:rPr>
              <w:fldChar w:fldCharType="separate"/>
            </w:r>
            <w:r w:rsidR="00E51994">
              <w:rPr>
                <w:rFonts w:ascii="黑体" w:eastAsia="黑体" w:hAnsi="黑体"/>
              </w:rPr>
              <w:t>39</w:t>
            </w:r>
            <w:r w:rsidR="00E51994">
              <w:rPr>
                <w:rFonts w:ascii="黑体" w:eastAsia="黑体" w:hAnsi="黑体"/>
              </w:rPr>
              <w:fldChar w:fldCharType="end"/>
            </w:r>
          </w:hyperlink>
        </w:p>
        <w:p w14:paraId="22C993B9"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83" w:history="1">
            <w:r w:rsidR="00E51994">
              <w:rPr>
                <w:rStyle w:val="aff3"/>
                <w:rFonts w:ascii="楷体" w:eastAsia="楷体" w:hAnsi="楷体"/>
                <w:sz w:val="24"/>
                <w:szCs w:val="24"/>
              </w:rPr>
              <w:t>（一）数字经济对就业影响的未来趋势</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_Toc93925283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39</w:t>
            </w:r>
            <w:r w:rsidR="00E51994">
              <w:rPr>
                <w:rFonts w:ascii="楷体" w:eastAsia="楷体" w:hAnsi="楷体"/>
                <w:sz w:val="24"/>
                <w:szCs w:val="24"/>
              </w:rPr>
              <w:fldChar w:fldCharType="end"/>
            </w:r>
          </w:hyperlink>
        </w:p>
        <w:p w14:paraId="2A34E0A6"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84" w:history="1">
            <w:r w:rsidR="00E51994">
              <w:rPr>
                <w:rStyle w:val="aff3"/>
                <w:rFonts w:ascii="楷体" w:eastAsia="楷体" w:hAnsi="楷体"/>
                <w:sz w:val="24"/>
                <w:szCs w:val="24"/>
              </w:rPr>
              <w:t>（二）数字经济对收入分配影响的未来趋势</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_Toc93925284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42</w:t>
            </w:r>
            <w:r w:rsidR="00E51994">
              <w:rPr>
                <w:rFonts w:ascii="楷体" w:eastAsia="楷体" w:hAnsi="楷体"/>
                <w:sz w:val="24"/>
                <w:szCs w:val="24"/>
              </w:rPr>
              <w:fldChar w:fldCharType="end"/>
            </w:r>
          </w:hyperlink>
        </w:p>
        <w:p w14:paraId="499AFBDF" w14:textId="77777777" w:rsidR="00602083" w:rsidRDefault="00CF6509">
          <w:pPr>
            <w:pStyle w:val="TOC2"/>
            <w:tabs>
              <w:tab w:val="right" w:leader="dot" w:pos="8720"/>
            </w:tabs>
            <w:spacing w:line="440" w:lineRule="exact"/>
            <w:ind w:left="600"/>
            <w:rPr>
              <w:rFonts w:ascii="黑体" w:eastAsia="黑体" w:hAnsi="黑体" w:cstheme="minorBidi"/>
              <w:smallCaps w:val="0"/>
              <w:kern w:val="2"/>
            </w:rPr>
          </w:pPr>
          <w:hyperlink w:anchor="_Toc93925285" w:history="1">
            <w:r w:rsidR="00E51994">
              <w:rPr>
                <w:rStyle w:val="aff3"/>
                <w:rFonts w:ascii="黑体" w:eastAsia="黑体" w:hAnsi="黑体"/>
              </w:rPr>
              <w:t>六、发展数字经济完善就业与收入分配格局的政策建议</w:t>
            </w:r>
            <w:r w:rsidR="00E51994">
              <w:rPr>
                <w:rFonts w:ascii="黑体" w:eastAsia="黑体" w:hAnsi="黑体"/>
              </w:rPr>
              <w:tab/>
            </w:r>
            <w:r w:rsidR="00E51994">
              <w:rPr>
                <w:rFonts w:ascii="黑体" w:eastAsia="黑体" w:hAnsi="黑体"/>
              </w:rPr>
              <w:fldChar w:fldCharType="begin"/>
            </w:r>
            <w:r w:rsidR="00E51994">
              <w:rPr>
                <w:rFonts w:ascii="黑体" w:eastAsia="黑体" w:hAnsi="黑体"/>
              </w:rPr>
              <w:instrText xml:space="preserve"> PAGEREF _Toc93925285 \h </w:instrText>
            </w:r>
            <w:r w:rsidR="00E51994">
              <w:rPr>
                <w:rFonts w:ascii="黑体" w:eastAsia="黑体" w:hAnsi="黑体"/>
              </w:rPr>
            </w:r>
            <w:r w:rsidR="00E51994">
              <w:rPr>
                <w:rFonts w:ascii="黑体" w:eastAsia="黑体" w:hAnsi="黑体"/>
              </w:rPr>
              <w:fldChar w:fldCharType="separate"/>
            </w:r>
            <w:r w:rsidR="00E51994">
              <w:rPr>
                <w:rFonts w:ascii="黑体" w:eastAsia="黑体" w:hAnsi="黑体"/>
              </w:rPr>
              <w:t>43</w:t>
            </w:r>
            <w:r w:rsidR="00E51994">
              <w:rPr>
                <w:rFonts w:ascii="黑体" w:eastAsia="黑体" w:hAnsi="黑体"/>
              </w:rPr>
              <w:fldChar w:fldCharType="end"/>
            </w:r>
          </w:hyperlink>
        </w:p>
        <w:p w14:paraId="59BD835C"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86" w:history="1">
            <w:r w:rsidR="00E51994">
              <w:rPr>
                <w:rStyle w:val="aff3"/>
                <w:rFonts w:ascii="楷体" w:eastAsia="楷体" w:hAnsi="楷体"/>
                <w:sz w:val="24"/>
                <w:szCs w:val="24"/>
              </w:rPr>
              <w:t>（一）建立符合数字经济规律的就业体系</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_Toc93925286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44</w:t>
            </w:r>
            <w:r w:rsidR="00E51994">
              <w:rPr>
                <w:rFonts w:ascii="楷体" w:eastAsia="楷体" w:hAnsi="楷体"/>
                <w:sz w:val="24"/>
                <w:szCs w:val="24"/>
              </w:rPr>
              <w:fldChar w:fldCharType="end"/>
            </w:r>
          </w:hyperlink>
        </w:p>
        <w:p w14:paraId="56654918"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87" w:history="1">
            <w:r w:rsidR="00E51994">
              <w:rPr>
                <w:rStyle w:val="aff3"/>
                <w:rFonts w:ascii="楷体" w:eastAsia="楷体" w:hAnsi="楷体"/>
                <w:sz w:val="24"/>
                <w:szCs w:val="24"/>
              </w:rPr>
              <w:t>（二）打造动态高效的数字经济劳动市场</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_Toc93925287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44</w:t>
            </w:r>
            <w:r w:rsidR="00E51994">
              <w:rPr>
                <w:rFonts w:ascii="楷体" w:eastAsia="楷体" w:hAnsi="楷体"/>
                <w:sz w:val="24"/>
                <w:szCs w:val="24"/>
              </w:rPr>
              <w:fldChar w:fldCharType="end"/>
            </w:r>
          </w:hyperlink>
        </w:p>
        <w:p w14:paraId="06B21469"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88" w:history="1">
            <w:r w:rsidR="00E51994">
              <w:rPr>
                <w:rStyle w:val="aff3"/>
                <w:rFonts w:ascii="楷体" w:eastAsia="楷体" w:hAnsi="楷体"/>
                <w:sz w:val="24"/>
                <w:szCs w:val="24"/>
              </w:rPr>
              <w:t>（三）推动就业友好型数字经济发展</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_Toc93925288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45</w:t>
            </w:r>
            <w:r w:rsidR="00E51994">
              <w:rPr>
                <w:rFonts w:ascii="楷体" w:eastAsia="楷体" w:hAnsi="楷体"/>
                <w:sz w:val="24"/>
                <w:szCs w:val="24"/>
              </w:rPr>
              <w:fldChar w:fldCharType="end"/>
            </w:r>
          </w:hyperlink>
        </w:p>
        <w:p w14:paraId="78C5A8D4"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89" w:history="1">
            <w:r w:rsidR="00E51994">
              <w:rPr>
                <w:rStyle w:val="aff3"/>
                <w:rFonts w:ascii="楷体" w:eastAsia="楷体" w:hAnsi="楷体"/>
                <w:sz w:val="24"/>
                <w:szCs w:val="24"/>
              </w:rPr>
              <w:t>（四）推动劳动者技能结构数字化转型</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_Toc93925289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45</w:t>
            </w:r>
            <w:r w:rsidR="00E51994">
              <w:rPr>
                <w:rFonts w:ascii="楷体" w:eastAsia="楷体" w:hAnsi="楷体"/>
                <w:sz w:val="24"/>
                <w:szCs w:val="24"/>
              </w:rPr>
              <w:fldChar w:fldCharType="end"/>
            </w:r>
          </w:hyperlink>
        </w:p>
        <w:p w14:paraId="51EABF0E"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90" w:history="1">
            <w:r w:rsidR="00E51994">
              <w:rPr>
                <w:rStyle w:val="aff3"/>
                <w:rFonts w:ascii="楷体" w:eastAsia="楷体" w:hAnsi="楷体"/>
                <w:sz w:val="24"/>
                <w:szCs w:val="24"/>
              </w:rPr>
              <w:t>（五）建立多元协同的劳动权益保障体系</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_Toc93925290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46</w:t>
            </w:r>
            <w:r w:rsidR="00E51994">
              <w:rPr>
                <w:rFonts w:ascii="楷体" w:eastAsia="楷体" w:hAnsi="楷体"/>
                <w:sz w:val="24"/>
                <w:szCs w:val="24"/>
              </w:rPr>
              <w:fldChar w:fldCharType="end"/>
            </w:r>
          </w:hyperlink>
        </w:p>
        <w:p w14:paraId="35B0679C"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91" w:history="1">
            <w:r w:rsidR="00E51994">
              <w:rPr>
                <w:rStyle w:val="aff3"/>
                <w:rFonts w:ascii="楷体" w:eastAsia="楷体" w:hAnsi="楷体"/>
                <w:sz w:val="24"/>
                <w:szCs w:val="24"/>
              </w:rPr>
              <w:t>（六）建立适应数字化发展的就业创业服务体系</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_Toc93925291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46</w:t>
            </w:r>
            <w:r w:rsidR="00E51994">
              <w:rPr>
                <w:rFonts w:ascii="楷体" w:eastAsia="楷体" w:hAnsi="楷体"/>
                <w:sz w:val="24"/>
                <w:szCs w:val="24"/>
              </w:rPr>
              <w:fldChar w:fldCharType="end"/>
            </w:r>
          </w:hyperlink>
        </w:p>
        <w:p w14:paraId="4B839840"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92" w:history="1">
            <w:r w:rsidR="00E51994">
              <w:rPr>
                <w:rStyle w:val="aff3"/>
                <w:rFonts w:ascii="楷体" w:eastAsia="楷体" w:hAnsi="楷体"/>
                <w:sz w:val="24"/>
                <w:szCs w:val="24"/>
              </w:rPr>
              <w:t>（七）构建适应数字经济发展的收入分配制度</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_Toc93925292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47</w:t>
            </w:r>
            <w:r w:rsidR="00E51994">
              <w:rPr>
                <w:rFonts w:ascii="楷体" w:eastAsia="楷体" w:hAnsi="楷体"/>
                <w:sz w:val="24"/>
                <w:szCs w:val="24"/>
              </w:rPr>
              <w:fldChar w:fldCharType="end"/>
            </w:r>
          </w:hyperlink>
        </w:p>
        <w:p w14:paraId="12749B28" w14:textId="77777777" w:rsidR="00602083" w:rsidRDefault="00CF6509">
          <w:pPr>
            <w:pStyle w:val="TOC3"/>
            <w:tabs>
              <w:tab w:val="right" w:leader="dot" w:pos="8720"/>
            </w:tabs>
            <w:spacing w:line="440" w:lineRule="exact"/>
            <w:ind w:left="1200"/>
            <w:rPr>
              <w:rFonts w:ascii="楷体" w:eastAsia="楷体" w:hAnsi="楷体" w:cstheme="minorBidi"/>
              <w:kern w:val="2"/>
              <w:sz w:val="24"/>
              <w:szCs w:val="24"/>
            </w:rPr>
          </w:pPr>
          <w:hyperlink w:anchor="_Toc93925293" w:history="1">
            <w:r w:rsidR="00E51994">
              <w:rPr>
                <w:rStyle w:val="aff3"/>
                <w:rFonts w:ascii="楷体" w:eastAsia="楷体" w:hAnsi="楷体"/>
                <w:sz w:val="24"/>
                <w:szCs w:val="24"/>
              </w:rPr>
              <w:t>（八）强化缩小“数字鸿沟”的普惠政策</w:t>
            </w:r>
            <w:r w:rsidR="00E51994">
              <w:rPr>
                <w:rFonts w:ascii="楷体" w:eastAsia="楷体" w:hAnsi="楷体"/>
                <w:sz w:val="24"/>
                <w:szCs w:val="24"/>
              </w:rPr>
              <w:tab/>
            </w:r>
            <w:r w:rsidR="00E51994">
              <w:rPr>
                <w:rFonts w:ascii="楷体" w:eastAsia="楷体" w:hAnsi="楷体"/>
                <w:sz w:val="24"/>
                <w:szCs w:val="24"/>
              </w:rPr>
              <w:fldChar w:fldCharType="begin"/>
            </w:r>
            <w:r w:rsidR="00E51994">
              <w:rPr>
                <w:rFonts w:ascii="楷体" w:eastAsia="楷体" w:hAnsi="楷体"/>
                <w:sz w:val="24"/>
                <w:szCs w:val="24"/>
              </w:rPr>
              <w:instrText xml:space="preserve"> PAGEREF _Toc93925293 \h </w:instrText>
            </w:r>
            <w:r w:rsidR="00E51994">
              <w:rPr>
                <w:rFonts w:ascii="楷体" w:eastAsia="楷体" w:hAnsi="楷体"/>
                <w:sz w:val="24"/>
                <w:szCs w:val="24"/>
              </w:rPr>
            </w:r>
            <w:r w:rsidR="00E51994">
              <w:rPr>
                <w:rFonts w:ascii="楷体" w:eastAsia="楷体" w:hAnsi="楷体"/>
                <w:sz w:val="24"/>
                <w:szCs w:val="24"/>
              </w:rPr>
              <w:fldChar w:fldCharType="separate"/>
            </w:r>
            <w:r w:rsidR="00E51994">
              <w:rPr>
                <w:rFonts w:ascii="楷体" w:eastAsia="楷体" w:hAnsi="楷体"/>
                <w:sz w:val="24"/>
                <w:szCs w:val="24"/>
              </w:rPr>
              <w:t>47</w:t>
            </w:r>
            <w:r w:rsidR="00E51994">
              <w:rPr>
                <w:rFonts w:ascii="楷体" w:eastAsia="楷体" w:hAnsi="楷体"/>
                <w:sz w:val="24"/>
                <w:szCs w:val="24"/>
              </w:rPr>
              <w:fldChar w:fldCharType="end"/>
            </w:r>
          </w:hyperlink>
        </w:p>
        <w:p w14:paraId="1E710116" w14:textId="77777777" w:rsidR="00602083" w:rsidRDefault="00CF6509">
          <w:pPr>
            <w:pStyle w:val="TOC2"/>
            <w:tabs>
              <w:tab w:val="right" w:leader="dot" w:pos="8720"/>
            </w:tabs>
            <w:spacing w:line="440" w:lineRule="exact"/>
            <w:ind w:left="600"/>
            <w:rPr>
              <w:rFonts w:ascii="黑体" w:eastAsia="黑体" w:hAnsi="黑体" w:cstheme="minorBidi"/>
              <w:smallCaps w:val="0"/>
              <w:kern w:val="2"/>
            </w:rPr>
          </w:pPr>
          <w:hyperlink w:anchor="_Toc93925294" w:history="1">
            <w:r w:rsidR="00E51994">
              <w:rPr>
                <w:rStyle w:val="aff3"/>
                <w:rFonts w:ascii="黑体" w:eastAsia="黑体" w:hAnsi="黑体"/>
              </w:rPr>
              <w:t>参考文献</w:t>
            </w:r>
            <w:r w:rsidR="00E51994">
              <w:rPr>
                <w:rFonts w:ascii="黑体" w:eastAsia="黑体" w:hAnsi="黑体"/>
              </w:rPr>
              <w:tab/>
            </w:r>
            <w:r w:rsidR="00E51994">
              <w:rPr>
                <w:rFonts w:ascii="黑体" w:eastAsia="黑体" w:hAnsi="黑体"/>
              </w:rPr>
              <w:fldChar w:fldCharType="begin"/>
            </w:r>
            <w:r w:rsidR="00E51994">
              <w:rPr>
                <w:rFonts w:ascii="黑体" w:eastAsia="黑体" w:hAnsi="黑体"/>
              </w:rPr>
              <w:instrText xml:space="preserve"> PAGEREF _Toc93925294 \h </w:instrText>
            </w:r>
            <w:r w:rsidR="00E51994">
              <w:rPr>
                <w:rFonts w:ascii="黑体" w:eastAsia="黑体" w:hAnsi="黑体"/>
              </w:rPr>
            </w:r>
            <w:r w:rsidR="00E51994">
              <w:rPr>
                <w:rFonts w:ascii="黑体" w:eastAsia="黑体" w:hAnsi="黑体"/>
              </w:rPr>
              <w:fldChar w:fldCharType="separate"/>
            </w:r>
            <w:r w:rsidR="00E51994">
              <w:rPr>
                <w:rFonts w:ascii="黑体" w:eastAsia="黑体" w:hAnsi="黑体"/>
              </w:rPr>
              <w:t>48</w:t>
            </w:r>
            <w:r w:rsidR="00E51994">
              <w:rPr>
                <w:rFonts w:ascii="黑体" w:eastAsia="黑体" w:hAnsi="黑体"/>
              </w:rPr>
              <w:fldChar w:fldCharType="end"/>
            </w:r>
          </w:hyperlink>
        </w:p>
        <w:p w14:paraId="70435B44" w14:textId="77777777" w:rsidR="00602083" w:rsidRDefault="00E51994">
          <w:pPr>
            <w:ind w:firstLine="602"/>
          </w:pPr>
          <w:r>
            <w:rPr>
              <w:b/>
              <w:bCs/>
              <w:lang w:val="zh-CN"/>
            </w:rPr>
            <w:fldChar w:fldCharType="end"/>
          </w:r>
        </w:p>
      </w:sdtContent>
    </w:sdt>
    <w:p w14:paraId="63113B55" w14:textId="77777777" w:rsidR="00602083" w:rsidRDefault="00602083">
      <w:pPr>
        <w:pStyle w:val="a1"/>
        <w:ind w:firstLine="600"/>
        <w:sectPr w:rsidR="00602083">
          <w:footnotePr>
            <w:numRestart w:val="eachPage"/>
          </w:footnotePr>
          <w:type w:val="nextColumn"/>
          <w:pgSz w:w="11906" w:h="16838"/>
          <w:pgMar w:top="1554" w:right="1588" w:bottom="1440" w:left="1588" w:header="1021" w:footer="992" w:gutter="0"/>
          <w:cols w:space="425"/>
          <w:docGrid w:linePitch="414"/>
        </w:sectPr>
      </w:pPr>
    </w:p>
    <w:p w14:paraId="271E20FE" w14:textId="77777777" w:rsidR="00602083" w:rsidRDefault="00602083">
      <w:pPr>
        <w:pStyle w:val="afffc"/>
      </w:pPr>
    </w:p>
    <w:p w14:paraId="49E48671" w14:textId="77777777" w:rsidR="00602083" w:rsidRDefault="00E51994">
      <w:pPr>
        <w:spacing w:line="360" w:lineRule="auto"/>
        <w:ind w:firstLineChars="0" w:firstLine="0"/>
        <w:jc w:val="center"/>
        <w:rPr>
          <w:rFonts w:ascii="黑体" w:eastAsia="黑体" w:hAnsi="黑体"/>
          <w:sz w:val="36"/>
          <w:szCs w:val="36"/>
        </w:rPr>
      </w:pPr>
      <w:r>
        <w:rPr>
          <w:rFonts w:ascii="黑体" w:eastAsia="黑体" w:hAnsi="黑体" w:hint="eastAsia"/>
          <w:sz w:val="36"/>
          <w:szCs w:val="36"/>
        </w:rPr>
        <w:t>数字经济对就业与收入分配的影响研究</w:t>
      </w:r>
    </w:p>
    <w:p w14:paraId="5F06728B" w14:textId="77777777" w:rsidR="00602083" w:rsidRDefault="00602083">
      <w:pPr>
        <w:pStyle w:val="afffc"/>
      </w:pPr>
    </w:p>
    <w:p w14:paraId="15652201" w14:textId="77777777" w:rsidR="00602083" w:rsidRDefault="00E51994">
      <w:pPr>
        <w:pStyle w:val="afffb"/>
      </w:pPr>
      <w:r>
        <w:rPr>
          <w:rFonts w:hint="eastAsia"/>
        </w:rPr>
        <w:t>摘</w:t>
      </w:r>
      <w:r>
        <w:t xml:space="preserve">  </w:t>
      </w:r>
      <w:r>
        <w:rPr>
          <w:rFonts w:hint="eastAsia"/>
        </w:rPr>
        <w:t>要</w:t>
      </w:r>
    </w:p>
    <w:p w14:paraId="63D63C3B" w14:textId="77777777" w:rsidR="00602083" w:rsidRDefault="00E51994">
      <w:pPr>
        <w:adjustRightInd w:val="0"/>
        <w:spacing w:line="360" w:lineRule="auto"/>
        <w:ind w:firstLine="480"/>
        <w:rPr>
          <w:rFonts w:ascii="楷体_GB2312" w:eastAsia="楷体_GB2312" w:cs="Times New Roman"/>
          <w:kern w:val="0"/>
          <w:sz w:val="24"/>
          <w:szCs w:val="24"/>
        </w:rPr>
      </w:pPr>
      <w:bookmarkStart w:id="5" w:name="_Hlk92729162"/>
      <w:r>
        <w:rPr>
          <w:rFonts w:ascii="楷体_GB2312" w:eastAsia="楷体_GB2312" w:cs="Times New Roman" w:hint="eastAsia"/>
          <w:kern w:val="0"/>
          <w:sz w:val="24"/>
          <w:szCs w:val="24"/>
        </w:rPr>
        <w:t>随着新一轮科技革命和产业变革孕育兴起，互联网、大数据、云计算、人工智能等数字技术日新月异，以数据资源为重要生产要素、以全要素数字化转型为重要推动力的数字经济蓬勃发展，打破了我国传统的就业形态，对于不同地区、不同产业、不同群体的收入分配格局也产生了较大影响。</w:t>
      </w:r>
    </w:p>
    <w:p w14:paraId="2CD1824B" w14:textId="77777777" w:rsidR="00602083" w:rsidRDefault="00E51994">
      <w:pPr>
        <w:adjustRightInd w:val="0"/>
        <w:spacing w:line="360" w:lineRule="auto"/>
        <w:ind w:firstLine="480"/>
        <w:rPr>
          <w:rFonts w:ascii="楷体_GB2312" w:eastAsia="楷体_GB2312" w:cs="Times New Roman"/>
          <w:kern w:val="0"/>
          <w:sz w:val="24"/>
          <w:szCs w:val="24"/>
        </w:rPr>
      </w:pPr>
      <w:r>
        <w:rPr>
          <w:rFonts w:ascii="楷体_GB2312" w:eastAsia="楷体_GB2312" w:cs="Times New Roman" w:hint="eastAsia"/>
          <w:kern w:val="0"/>
          <w:sz w:val="24"/>
          <w:szCs w:val="24"/>
        </w:rPr>
        <w:t>从数字经济对就业的影响机制看。一是对就业规模的替代效应和创造效应，替代效应表现由于生产率提高、智能技术发展以及产业结构转型，引起劳动需求减少、劳动力被机器替代以及劳动岗位消失，创造效应表现为生产率提高、产业部门创新和技术扩散带来的劳动需求增加、新岗位创造以及就业转移；二是对就业结构的影响表现为对不同地区、不同产业、不同群体的影响。</w:t>
      </w:r>
    </w:p>
    <w:p w14:paraId="7C804F6F" w14:textId="77777777" w:rsidR="00602083" w:rsidRDefault="00E51994">
      <w:pPr>
        <w:adjustRightInd w:val="0"/>
        <w:spacing w:line="360" w:lineRule="auto"/>
        <w:ind w:firstLine="480"/>
        <w:rPr>
          <w:rFonts w:ascii="楷体_GB2312" w:eastAsia="楷体_GB2312" w:cs="Times New Roman"/>
          <w:kern w:val="0"/>
          <w:sz w:val="24"/>
          <w:szCs w:val="24"/>
        </w:rPr>
      </w:pPr>
      <w:r>
        <w:rPr>
          <w:rFonts w:ascii="楷体_GB2312" w:eastAsia="楷体_GB2312" w:cs="Times New Roman" w:hint="eastAsia"/>
          <w:kern w:val="0"/>
          <w:sz w:val="24"/>
          <w:szCs w:val="24"/>
        </w:rPr>
        <w:t>从数字经济对收入分配机制看。一是总体影响，数字经济的影响表现在三条路径，分别是数字经济发展本身、数字经济作为一种技术进步以及数字经济发展所引致的产业结构优化对收入分配产生总体影响。二是结构性影响，数字经济分别对不同的地区、不同产业部门以及不同群体的收入分配产生影响，主要是加剧了极化效应。</w:t>
      </w:r>
    </w:p>
    <w:p w14:paraId="61744D82" w14:textId="77777777" w:rsidR="00602083" w:rsidRDefault="00E51994">
      <w:pPr>
        <w:adjustRightInd w:val="0"/>
        <w:spacing w:line="360" w:lineRule="auto"/>
        <w:ind w:firstLine="480"/>
        <w:rPr>
          <w:rFonts w:ascii="楷体_GB2312" w:eastAsia="楷体_GB2312" w:cs="Times New Roman"/>
          <w:kern w:val="0"/>
          <w:sz w:val="24"/>
          <w:szCs w:val="24"/>
        </w:rPr>
      </w:pPr>
      <w:r>
        <w:rPr>
          <w:rFonts w:ascii="楷体_GB2312" w:eastAsia="楷体_GB2312" w:cs="Times New Roman" w:hint="eastAsia"/>
          <w:kern w:val="0"/>
          <w:sz w:val="24"/>
          <w:szCs w:val="24"/>
        </w:rPr>
        <w:t>实践证明，数字经济对就业影响结果表现为四个主要特征，分别是数字平台成为重要的用工主体、数字经济就业向中西部渗透、数字经济就业更加包容灵活以及数字经济就业政策加快调整。数字经济的迅猛发展对就业总量，结构和质量都产生了积极的影响，以总量为例，我国信息传输、软件和信息技术服务业的岗位数量从2010年的185.8万增长到2019年的455.3万，增长率超145%。数字经济也在改变传统的收入分配格局，以劳动者工资薪酬提升为例，平台骑手五成月入4000-8000元、</w:t>
      </w:r>
      <w:r>
        <w:rPr>
          <w:rFonts w:ascii="楷体_GB2312" w:eastAsia="楷体_GB2312" w:cs="Times New Roman" w:hint="eastAsia"/>
          <w:kern w:val="0"/>
          <w:sz w:val="24"/>
          <w:szCs w:val="24"/>
        </w:rPr>
        <w:lastRenderedPageBreak/>
        <w:t>近一成骑手月入过万；以不同的市场主体为例，数字经济行业内收入增幅明显高于非数字经济。</w:t>
      </w:r>
    </w:p>
    <w:p w14:paraId="45CE5B8D" w14:textId="77777777" w:rsidR="00602083" w:rsidRDefault="00E51994">
      <w:pPr>
        <w:adjustRightInd w:val="0"/>
        <w:spacing w:line="360" w:lineRule="auto"/>
        <w:ind w:firstLine="480"/>
        <w:rPr>
          <w:rFonts w:ascii="楷体_GB2312" w:eastAsia="楷体_GB2312" w:cs="Times New Roman"/>
          <w:kern w:val="0"/>
          <w:sz w:val="24"/>
          <w:szCs w:val="24"/>
        </w:rPr>
      </w:pPr>
      <w:r>
        <w:rPr>
          <w:rFonts w:ascii="楷体_GB2312" w:eastAsia="楷体_GB2312" w:cs="Times New Roman" w:hint="eastAsia"/>
          <w:kern w:val="0"/>
          <w:sz w:val="24"/>
          <w:szCs w:val="24"/>
        </w:rPr>
        <w:t>面向未来，发挥好数字经济优就业、调分配的作用面临五大挑战，分别是数字经济时代劳动制度创新亟待推进、数字经济的劳动力市场供需错配明显、数字经济平台滥用支配地位问题突出、新型就业人员的劳动保障严重不足以及数字技术的劳动控制引发伦理危机。研判趋势，数字经济对我国就业的影响将更加深刻、未来劳动力产业部门转移将进一步加速、数字人才培养将成为发展重点、就业形态与劳动关系变革将持续深化、数字经济发展可能会普遍性得提高劳动者收入、数字经济发展可能会降低劳动要素在分配中的比例以及数字经济发展可能会扩大不同区域之间的收入差距。</w:t>
      </w:r>
    </w:p>
    <w:p w14:paraId="189B1C92" w14:textId="77777777" w:rsidR="00602083" w:rsidRDefault="00E51994">
      <w:pPr>
        <w:adjustRightInd w:val="0"/>
        <w:spacing w:line="360" w:lineRule="auto"/>
        <w:ind w:firstLine="480"/>
        <w:rPr>
          <w:rFonts w:ascii="楷体_GB2312" w:eastAsia="楷体_GB2312" w:cs="Times New Roman"/>
          <w:kern w:val="0"/>
          <w:sz w:val="24"/>
          <w:szCs w:val="24"/>
        </w:rPr>
      </w:pPr>
      <w:r>
        <w:rPr>
          <w:rFonts w:ascii="楷体_GB2312" w:eastAsia="楷体_GB2312" w:cs="Times New Roman" w:hint="eastAsia"/>
          <w:kern w:val="0"/>
          <w:sz w:val="24"/>
          <w:szCs w:val="24"/>
        </w:rPr>
        <w:t>基于积极利用数字经济发展之长，弥补数字经济发展之短的思路，提出完善就业和收入分配格局的八个政策建议：一是建立符合数字经济规律的就业体系，二是打造动态高效的数字经济劳动市场，三是推动就业友好型数字经济发展，四是推动劳动者技能结构数字化转型，五是建立多元协同的劳动权益保障体系，六是建立适应数字化发展的就业创业服务体系，七是构建适应数字经济发展的收入分配制度，八是强化缩小“数字鸿沟”的普惠政策。</w:t>
      </w:r>
    </w:p>
    <w:p w14:paraId="11A3D98B" w14:textId="77777777" w:rsidR="00602083" w:rsidRDefault="00602083">
      <w:pPr>
        <w:pStyle w:val="afffc"/>
      </w:pPr>
    </w:p>
    <w:p w14:paraId="55DD6E6E" w14:textId="77777777" w:rsidR="00602083" w:rsidRDefault="00E51994">
      <w:pPr>
        <w:pStyle w:val="2"/>
        <w:ind w:firstLine="480"/>
      </w:pPr>
      <w:bookmarkStart w:id="6" w:name="_Toc4295"/>
      <w:bookmarkStart w:id="7" w:name="_Toc93841280"/>
      <w:bookmarkStart w:id="8" w:name="_Toc92734339"/>
      <w:bookmarkStart w:id="9" w:name="_Toc15337"/>
      <w:bookmarkStart w:id="10" w:name="_Toc93925264"/>
      <w:bookmarkEnd w:id="5"/>
      <w:r>
        <w:rPr>
          <w:rFonts w:hint="eastAsia"/>
        </w:rPr>
        <w:t>一、</w:t>
      </w:r>
      <w:r>
        <w:t>数字经济发展与就业收入分配的现状</w:t>
      </w:r>
      <w:bookmarkEnd w:id="6"/>
      <w:bookmarkEnd w:id="7"/>
      <w:bookmarkEnd w:id="8"/>
      <w:bookmarkEnd w:id="9"/>
      <w:bookmarkEnd w:id="10"/>
    </w:p>
    <w:p w14:paraId="2AE24FFF" w14:textId="77777777" w:rsidR="00602083" w:rsidRDefault="00E51994">
      <w:pPr>
        <w:pStyle w:val="3"/>
        <w:spacing w:before="192" w:after="240"/>
        <w:ind w:firstLine="480"/>
      </w:pPr>
      <w:bookmarkStart w:id="11" w:name="_Toc17636"/>
      <w:bookmarkStart w:id="12" w:name="_Toc92734340"/>
      <w:bookmarkStart w:id="13" w:name="_Toc10648"/>
      <w:bookmarkStart w:id="14" w:name="_Toc93925265"/>
      <w:r>
        <w:rPr>
          <w:rFonts w:hint="eastAsia"/>
        </w:rPr>
        <w:t>（一）</w:t>
      </w:r>
      <w:r>
        <w:t>数字经济</w:t>
      </w:r>
      <w:bookmarkEnd w:id="11"/>
      <w:r>
        <w:t>呈现蓬勃发展态势</w:t>
      </w:r>
      <w:bookmarkEnd w:id="12"/>
      <w:bookmarkEnd w:id="13"/>
      <w:bookmarkEnd w:id="14"/>
    </w:p>
    <w:p w14:paraId="4723C1E7" w14:textId="77777777" w:rsidR="00602083" w:rsidRDefault="00E51994">
      <w:pPr>
        <w:spacing w:line="360" w:lineRule="auto"/>
        <w:ind w:firstLine="480"/>
        <w:rPr>
          <w:rFonts w:eastAsia="宋体" w:cs="Times New Roman"/>
          <w:sz w:val="24"/>
          <w:szCs w:val="24"/>
        </w:rPr>
      </w:pPr>
      <w:bookmarkStart w:id="15" w:name="_Hlk92729220"/>
      <w:r>
        <w:rPr>
          <w:rFonts w:eastAsia="宋体" w:cs="Times New Roman"/>
          <w:sz w:val="24"/>
          <w:szCs w:val="24"/>
        </w:rPr>
        <w:t>随着新一轮科技革命和产业变革孕育兴起，互联网、大数据、云计算、人工智能等数字技术日新月异，以数据资源为重要生产要素、以全要素数字化转型为重要推动力的数字经济蓬勃发展。</w:t>
      </w:r>
      <w:bookmarkEnd w:id="15"/>
      <w:r>
        <w:rPr>
          <w:rFonts w:eastAsia="宋体" w:cs="Times New Roman"/>
          <w:sz w:val="24"/>
          <w:szCs w:val="24"/>
        </w:rPr>
        <w:t>从</w:t>
      </w:r>
      <w:r>
        <w:rPr>
          <w:rFonts w:eastAsia="宋体" w:cs="Times New Roman"/>
          <w:sz w:val="24"/>
          <w:szCs w:val="24"/>
        </w:rPr>
        <w:t>2005</w:t>
      </w:r>
      <w:r>
        <w:rPr>
          <w:rFonts w:eastAsia="宋体" w:cs="Times New Roman"/>
          <w:sz w:val="24"/>
          <w:szCs w:val="24"/>
        </w:rPr>
        <w:t>年到</w:t>
      </w:r>
      <w:r>
        <w:rPr>
          <w:rFonts w:eastAsia="宋体" w:cs="Times New Roman"/>
          <w:sz w:val="24"/>
          <w:szCs w:val="24"/>
        </w:rPr>
        <w:t>2020</w:t>
      </w:r>
      <w:r>
        <w:rPr>
          <w:rFonts w:eastAsia="宋体" w:cs="Times New Roman"/>
          <w:sz w:val="24"/>
          <w:szCs w:val="24"/>
        </w:rPr>
        <w:t>年，我国数字经济增加值从</w:t>
      </w:r>
      <w:r>
        <w:rPr>
          <w:rFonts w:eastAsia="宋体" w:cs="Times New Roman"/>
          <w:sz w:val="24"/>
          <w:szCs w:val="24"/>
        </w:rPr>
        <w:t>2.6</w:t>
      </w:r>
      <w:r>
        <w:rPr>
          <w:rFonts w:eastAsia="宋体" w:cs="Times New Roman"/>
          <w:sz w:val="24"/>
          <w:szCs w:val="24"/>
        </w:rPr>
        <w:t>万亿元增加到</w:t>
      </w:r>
      <w:r>
        <w:rPr>
          <w:rFonts w:eastAsia="宋体" w:cs="Times New Roman"/>
          <w:sz w:val="24"/>
          <w:szCs w:val="24"/>
        </w:rPr>
        <w:t>39.2</w:t>
      </w:r>
      <w:r>
        <w:rPr>
          <w:rFonts w:eastAsia="宋体" w:cs="Times New Roman"/>
          <w:sz w:val="24"/>
          <w:szCs w:val="24"/>
        </w:rPr>
        <w:t>万亿元，数字经济增加值占</w:t>
      </w:r>
      <w:r>
        <w:rPr>
          <w:rFonts w:eastAsia="宋体" w:cs="Times New Roman"/>
          <w:sz w:val="24"/>
          <w:szCs w:val="24"/>
        </w:rPr>
        <w:t>GDP</w:t>
      </w:r>
      <w:r>
        <w:rPr>
          <w:rFonts w:eastAsia="宋体" w:cs="Times New Roman"/>
          <w:sz w:val="24"/>
          <w:szCs w:val="24"/>
        </w:rPr>
        <w:t>的比重从</w:t>
      </w:r>
      <w:r>
        <w:rPr>
          <w:rFonts w:eastAsia="宋体" w:cs="Times New Roman"/>
          <w:sz w:val="24"/>
          <w:szCs w:val="24"/>
        </w:rPr>
        <w:t>14.2%</w:t>
      </w:r>
      <w:r>
        <w:rPr>
          <w:rFonts w:eastAsia="宋体" w:cs="Times New Roman"/>
          <w:sz w:val="24"/>
          <w:szCs w:val="24"/>
        </w:rPr>
        <w:t>上升至</w:t>
      </w:r>
      <w:r>
        <w:rPr>
          <w:rFonts w:eastAsia="宋体" w:cs="Times New Roman"/>
          <w:sz w:val="24"/>
          <w:szCs w:val="24"/>
        </w:rPr>
        <w:t>38.6</w:t>
      </w:r>
      <w:r>
        <w:rPr>
          <w:rFonts w:eastAsia="宋体" w:cs="Times New Roman"/>
          <w:sz w:val="24"/>
          <w:szCs w:val="24"/>
          <w:vertAlign w:val="superscript"/>
        </w:rPr>
        <w:t>[</w:t>
      </w:r>
      <w:r>
        <w:rPr>
          <w:rFonts w:eastAsia="宋体" w:cs="Times New Roman"/>
          <w:sz w:val="24"/>
          <w:szCs w:val="24"/>
          <w:vertAlign w:val="superscript"/>
        </w:rPr>
        <w:footnoteReference w:id="1"/>
      </w:r>
      <w:r>
        <w:rPr>
          <w:rFonts w:eastAsia="宋体" w:cs="Times New Roman"/>
          <w:sz w:val="24"/>
          <w:szCs w:val="24"/>
          <w:vertAlign w:val="superscript"/>
        </w:rPr>
        <w:t>]</w:t>
      </w:r>
      <w:r>
        <w:rPr>
          <w:rFonts w:eastAsia="宋体" w:cs="Times New Roman"/>
          <w:sz w:val="24"/>
          <w:szCs w:val="24"/>
        </w:rPr>
        <w:t>。对我国经</w:t>
      </w:r>
      <w:r>
        <w:rPr>
          <w:rFonts w:eastAsia="宋体" w:cs="Times New Roman"/>
          <w:sz w:val="24"/>
          <w:szCs w:val="24"/>
        </w:rPr>
        <w:lastRenderedPageBreak/>
        <w:t>济的贡献率持续提升。</w:t>
      </w:r>
      <w:r>
        <w:rPr>
          <w:rFonts w:eastAsia="宋体" w:cs="Times New Roman"/>
          <w:sz w:val="24"/>
          <w:szCs w:val="24"/>
        </w:rPr>
        <w:t>2014</w:t>
      </w:r>
      <w:r>
        <w:rPr>
          <w:rFonts w:eastAsia="宋体" w:cs="Times New Roman"/>
          <w:sz w:val="24"/>
          <w:szCs w:val="24"/>
        </w:rPr>
        <w:t>年</w:t>
      </w:r>
      <w:r>
        <w:rPr>
          <w:rFonts w:eastAsia="宋体" w:cs="Times New Roman"/>
          <w:sz w:val="24"/>
          <w:szCs w:val="24"/>
        </w:rPr>
        <w:t>—2019</w:t>
      </w:r>
      <w:r>
        <w:rPr>
          <w:rFonts w:eastAsia="宋体" w:cs="Times New Roman"/>
          <w:sz w:val="24"/>
          <w:szCs w:val="24"/>
        </w:rPr>
        <w:t>年，数字经济对经济增长的贡献率均超过</w:t>
      </w:r>
      <w:r>
        <w:rPr>
          <w:rFonts w:eastAsia="宋体" w:cs="Times New Roman"/>
          <w:sz w:val="24"/>
          <w:szCs w:val="24"/>
        </w:rPr>
        <w:t>50%</w:t>
      </w:r>
      <w:r>
        <w:rPr>
          <w:rFonts w:eastAsia="宋体" w:cs="Times New Roman"/>
          <w:sz w:val="24"/>
          <w:szCs w:val="24"/>
        </w:rPr>
        <w:t>；其中</w:t>
      </w:r>
      <w:r>
        <w:rPr>
          <w:rFonts w:eastAsia="宋体" w:cs="Times New Roman"/>
          <w:sz w:val="24"/>
          <w:szCs w:val="24"/>
        </w:rPr>
        <w:t>2019</w:t>
      </w:r>
      <w:r>
        <w:rPr>
          <w:rFonts w:eastAsia="宋体" w:cs="Times New Roman"/>
          <w:sz w:val="24"/>
          <w:szCs w:val="24"/>
        </w:rPr>
        <w:t>年，我国数字经济对经济增长贡献率超过</w:t>
      </w:r>
      <w:r>
        <w:rPr>
          <w:rFonts w:eastAsia="宋体" w:cs="Times New Roman"/>
          <w:sz w:val="24"/>
          <w:szCs w:val="24"/>
        </w:rPr>
        <w:t>60%</w:t>
      </w:r>
      <w:r>
        <w:rPr>
          <w:rFonts w:eastAsia="宋体" w:cs="Times New Roman"/>
          <w:sz w:val="24"/>
          <w:szCs w:val="24"/>
        </w:rPr>
        <w:t>，成为拉动我国经济的重要引擎。从全球看，自</w:t>
      </w:r>
      <w:r>
        <w:rPr>
          <w:rFonts w:eastAsia="宋体" w:cs="Times New Roman"/>
          <w:sz w:val="24"/>
          <w:szCs w:val="24"/>
        </w:rPr>
        <w:t>2017</w:t>
      </w:r>
      <w:r>
        <w:rPr>
          <w:rFonts w:eastAsia="宋体" w:cs="Times New Roman"/>
          <w:sz w:val="24"/>
          <w:szCs w:val="24"/>
        </w:rPr>
        <w:t>年以来，我国数字经济规模超过日本和英国之和，稳居全球第二大数字经济体，</w:t>
      </w:r>
      <w:r>
        <w:rPr>
          <w:rFonts w:eastAsia="宋体" w:cs="Times New Roman"/>
          <w:sz w:val="24"/>
          <w:szCs w:val="24"/>
        </w:rPr>
        <w:t>2020</w:t>
      </w:r>
      <w:r>
        <w:rPr>
          <w:rFonts w:eastAsia="宋体" w:cs="Times New Roman"/>
          <w:sz w:val="24"/>
          <w:szCs w:val="24"/>
        </w:rPr>
        <w:t>年我国数字经济规模同比增长</w:t>
      </w:r>
      <w:r>
        <w:rPr>
          <w:rFonts w:eastAsia="宋体" w:cs="Times New Roman"/>
          <w:sz w:val="24"/>
          <w:szCs w:val="24"/>
        </w:rPr>
        <w:t>9.6%</w:t>
      </w:r>
      <w:r>
        <w:rPr>
          <w:rFonts w:eastAsia="宋体" w:cs="Times New Roman"/>
          <w:sz w:val="24"/>
          <w:szCs w:val="24"/>
        </w:rPr>
        <w:t>，增速高居全球首位。</w:t>
      </w:r>
    </w:p>
    <w:p w14:paraId="41D293B5" w14:textId="77777777" w:rsidR="00602083" w:rsidRDefault="00E51994">
      <w:pPr>
        <w:spacing w:line="360" w:lineRule="auto"/>
        <w:ind w:firstLine="480"/>
        <w:rPr>
          <w:rFonts w:eastAsia="宋体" w:cs="Times New Roman"/>
          <w:sz w:val="24"/>
          <w:szCs w:val="24"/>
        </w:rPr>
      </w:pPr>
      <w:r>
        <w:rPr>
          <w:rFonts w:eastAsia="宋体" w:cs="Times New Roman"/>
          <w:sz w:val="24"/>
          <w:szCs w:val="24"/>
        </w:rPr>
        <w:t>从不同省份看，《中国数字经济发展白皮书（</w:t>
      </w:r>
      <w:r>
        <w:rPr>
          <w:rFonts w:eastAsia="宋体" w:cs="Times New Roman"/>
          <w:sz w:val="24"/>
          <w:szCs w:val="24"/>
        </w:rPr>
        <w:t>2021</w:t>
      </w:r>
      <w:r>
        <w:rPr>
          <w:rFonts w:eastAsia="宋体" w:cs="Times New Roman"/>
          <w:sz w:val="24"/>
          <w:szCs w:val="24"/>
        </w:rPr>
        <w:t>）》显示，</w:t>
      </w:r>
      <w:r>
        <w:rPr>
          <w:rFonts w:eastAsia="宋体" w:cs="Times New Roman"/>
          <w:sz w:val="24"/>
          <w:szCs w:val="24"/>
        </w:rPr>
        <w:t>2020</w:t>
      </w:r>
      <w:r>
        <w:rPr>
          <w:rFonts w:eastAsia="宋体" w:cs="Times New Roman"/>
          <w:sz w:val="24"/>
          <w:szCs w:val="24"/>
        </w:rPr>
        <w:t>年广东、江苏、山东等</w:t>
      </w:r>
      <w:r>
        <w:rPr>
          <w:rFonts w:eastAsia="宋体" w:cs="Times New Roman"/>
          <w:sz w:val="24"/>
          <w:szCs w:val="24"/>
        </w:rPr>
        <w:t>13</w:t>
      </w:r>
      <w:r>
        <w:rPr>
          <w:rFonts w:eastAsia="宋体" w:cs="Times New Roman"/>
          <w:sz w:val="24"/>
          <w:szCs w:val="24"/>
        </w:rPr>
        <w:t>个省市数字经济规模超过</w:t>
      </w:r>
      <w:r>
        <w:rPr>
          <w:rFonts w:eastAsia="宋体" w:cs="Times New Roman"/>
          <w:sz w:val="24"/>
          <w:szCs w:val="24"/>
        </w:rPr>
        <w:t>1</w:t>
      </w:r>
      <w:r>
        <w:rPr>
          <w:rFonts w:eastAsia="宋体" w:cs="Times New Roman"/>
          <w:sz w:val="24"/>
          <w:szCs w:val="24"/>
        </w:rPr>
        <w:t>万亿元；北京、上海数字经济</w:t>
      </w:r>
      <w:r>
        <w:rPr>
          <w:rFonts w:eastAsia="宋体" w:cs="Times New Roman"/>
          <w:sz w:val="24"/>
          <w:szCs w:val="24"/>
        </w:rPr>
        <w:t>GDP</w:t>
      </w:r>
      <w:r>
        <w:rPr>
          <w:rFonts w:eastAsia="宋体" w:cs="Times New Roman"/>
          <w:sz w:val="24"/>
          <w:szCs w:val="24"/>
        </w:rPr>
        <w:t>占比超过</w:t>
      </w:r>
      <w:r>
        <w:rPr>
          <w:rFonts w:eastAsia="宋体" w:cs="Times New Roman"/>
          <w:sz w:val="24"/>
          <w:szCs w:val="24"/>
        </w:rPr>
        <w:t>50%</w:t>
      </w:r>
      <w:r>
        <w:rPr>
          <w:rFonts w:eastAsia="宋体" w:cs="Times New Roman"/>
          <w:sz w:val="24"/>
          <w:szCs w:val="24"/>
        </w:rPr>
        <w:t>，广东、浙江、江苏、福建数字经济占</w:t>
      </w:r>
      <w:r>
        <w:rPr>
          <w:rFonts w:eastAsia="宋体" w:cs="Times New Roman"/>
          <w:sz w:val="24"/>
          <w:szCs w:val="24"/>
        </w:rPr>
        <w:t>GDP</w:t>
      </w:r>
      <w:r>
        <w:rPr>
          <w:rFonts w:eastAsia="宋体" w:cs="Times New Roman"/>
          <w:sz w:val="24"/>
          <w:szCs w:val="24"/>
        </w:rPr>
        <w:t>的比重超过</w:t>
      </w:r>
      <w:r>
        <w:rPr>
          <w:rFonts w:eastAsia="宋体" w:cs="Times New Roman"/>
          <w:sz w:val="24"/>
          <w:szCs w:val="24"/>
        </w:rPr>
        <w:t>40%</w:t>
      </w:r>
      <w:r>
        <w:rPr>
          <w:rFonts w:eastAsia="宋体" w:cs="Times New Roman"/>
          <w:sz w:val="24"/>
          <w:szCs w:val="24"/>
        </w:rPr>
        <w:t>。从不同区域看，长三角地区数字经济规模最大，高达</w:t>
      </w:r>
      <w:r>
        <w:rPr>
          <w:rFonts w:eastAsia="宋体" w:cs="Times New Roman"/>
          <w:sz w:val="24"/>
          <w:szCs w:val="24"/>
        </w:rPr>
        <w:t>8.63</w:t>
      </w:r>
      <w:r>
        <w:rPr>
          <w:rFonts w:eastAsia="宋体" w:cs="Times New Roman"/>
          <w:sz w:val="24"/>
          <w:szCs w:val="24"/>
        </w:rPr>
        <w:t>万亿元，珠三角为</w:t>
      </w:r>
      <w:r>
        <w:rPr>
          <w:rFonts w:eastAsia="宋体" w:cs="Times New Roman"/>
          <w:sz w:val="24"/>
          <w:szCs w:val="24"/>
        </w:rPr>
        <w:t>4.31</w:t>
      </w:r>
      <w:r>
        <w:rPr>
          <w:rFonts w:eastAsia="宋体" w:cs="Times New Roman"/>
          <w:sz w:val="24"/>
          <w:szCs w:val="24"/>
        </w:rPr>
        <w:t>万亿元，京津冀为</w:t>
      </w:r>
      <w:r>
        <w:rPr>
          <w:rFonts w:eastAsia="宋体" w:cs="Times New Roman"/>
          <w:sz w:val="24"/>
          <w:szCs w:val="24"/>
        </w:rPr>
        <w:t>3.46</w:t>
      </w:r>
      <w:r>
        <w:rPr>
          <w:rFonts w:eastAsia="宋体" w:cs="Times New Roman"/>
          <w:sz w:val="24"/>
          <w:szCs w:val="24"/>
        </w:rPr>
        <w:t>万亿元，东北老工业基地地区和西北地区的数字经济发展速度相对缓慢，分别为</w:t>
      </w:r>
      <w:r>
        <w:rPr>
          <w:rFonts w:eastAsia="宋体" w:cs="Times New Roman"/>
          <w:sz w:val="24"/>
          <w:szCs w:val="24"/>
        </w:rPr>
        <w:t>1.60</w:t>
      </w:r>
      <w:r>
        <w:rPr>
          <w:rFonts w:eastAsia="宋体" w:cs="Times New Roman"/>
          <w:sz w:val="24"/>
          <w:szCs w:val="24"/>
        </w:rPr>
        <w:t>万亿元和</w:t>
      </w:r>
      <w:r>
        <w:rPr>
          <w:rFonts w:eastAsia="宋体" w:cs="Times New Roman"/>
          <w:sz w:val="24"/>
          <w:szCs w:val="24"/>
        </w:rPr>
        <w:t>1.26</w:t>
      </w:r>
      <w:r>
        <w:rPr>
          <w:rFonts w:eastAsia="宋体" w:cs="Times New Roman"/>
          <w:sz w:val="24"/>
          <w:szCs w:val="24"/>
        </w:rPr>
        <w:t>万亿元。从不同产业看，</w:t>
      </w:r>
      <w:r>
        <w:rPr>
          <w:rFonts w:eastAsia="宋体" w:cs="Times New Roman"/>
          <w:sz w:val="24"/>
          <w:szCs w:val="24"/>
        </w:rPr>
        <w:t>2020</w:t>
      </w:r>
      <w:r>
        <w:rPr>
          <w:rFonts w:eastAsia="宋体" w:cs="Times New Roman"/>
          <w:sz w:val="24"/>
          <w:szCs w:val="24"/>
        </w:rPr>
        <w:t>年我国数字经济规模达到</w:t>
      </w:r>
      <w:r>
        <w:rPr>
          <w:rFonts w:eastAsia="宋体" w:cs="Times New Roman"/>
          <w:sz w:val="24"/>
          <w:szCs w:val="24"/>
        </w:rPr>
        <w:t>39.2</w:t>
      </w:r>
      <w:r>
        <w:rPr>
          <w:rFonts w:eastAsia="宋体" w:cs="Times New Roman"/>
          <w:sz w:val="24"/>
          <w:szCs w:val="24"/>
        </w:rPr>
        <w:t>万亿，其中产业数字化规模达到</w:t>
      </w:r>
      <w:r>
        <w:rPr>
          <w:rFonts w:eastAsia="宋体" w:cs="Times New Roman"/>
          <w:sz w:val="24"/>
          <w:szCs w:val="24"/>
        </w:rPr>
        <w:t>31.7</w:t>
      </w:r>
      <w:r>
        <w:rPr>
          <w:rFonts w:eastAsia="宋体" w:cs="Times New Roman"/>
          <w:sz w:val="24"/>
          <w:szCs w:val="24"/>
        </w:rPr>
        <w:t>万亿，占数字产业规模的比重超过</w:t>
      </w:r>
      <w:r>
        <w:rPr>
          <w:rFonts w:eastAsia="宋体" w:cs="Times New Roman"/>
          <w:sz w:val="24"/>
          <w:szCs w:val="24"/>
        </w:rPr>
        <w:t>80%</w:t>
      </w:r>
      <w:r>
        <w:rPr>
          <w:rFonts w:eastAsia="宋体" w:cs="Times New Roman"/>
          <w:sz w:val="24"/>
          <w:szCs w:val="24"/>
        </w:rPr>
        <w:t>，第一产业、第二产业和第三产业的数字经济规模占行业增加值的比重分别为</w:t>
      </w:r>
      <w:r>
        <w:rPr>
          <w:rFonts w:eastAsia="宋体" w:cs="Times New Roman"/>
          <w:sz w:val="24"/>
          <w:szCs w:val="24"/>
        </w:rPr>
        <w:t>8.9%</w:t>
      </w:r>
      <w:r>
        <w:rPr>
          <w:rFonts w:eastAsia="宋体" w:cs="Times New Roman"/>
          <w:sz w:val="24"/>
          <w:szCs w:val="24"/>
        </w:rPr>
        <w:t>、</w:t>
      </w:r>
      <w:r>
        <w:rPr>
          <w:rFonts w:eastAsia="宋体" w:cs="Times New Roman"/>
          <w:sz w:val="24"/>
          <w:szCs w:val="24"/>
        </w:rPr>
        <w:t>21%</w:t>
      </w:r>
      <w:r>
        <w:rPr>
          <w:rFonts w:eastAsia="宋体" w:cs="Times New Roman"/>
          <w:sz w:val="24"/>
          <w:szCs w:val="24"/>
        </w:rPr>
        <w:t>和</w:t>
      </w:r>
      <w:r>
        <w:rPr>
          <w:rFonts w:eastAsia="宋体" w:cs="Times New Roman"/>
          <w:sz w:val="24"/>
          <w:szCs w:val="24"/>
        </w:rPr>
        <w:t>40.7%</w:t>
      </w:r>
      <w:r>
        <w:rPr>
          <w:rFonts w:eastAsia="宋体" w:cs="Times New Roman"/>
          <w:sz w:val="24"/>
          <w:szCs w:val="24"/>
        </w:rPr>
        <w:t>，数字经济的新模式、新业态发展迅速，截至</w:t>
      </w:r>
      <w:r>
        <w:rPr>
          <w:rFonts w:eastAsia="宋体" w:cs="Times New Roman"/>
          <w:sz w:val="24"/>
          <w:szCs w:val="24"/>
        </w:rPr>
        <w:t>2021</w:t>
      </w:r>
      <w:r>
        <w:rPr>
          <w:rFonts w:eastAsia="宋体" w:cs="Times New Roman"/>
          <w:sz w:val="24"/>
          <w:szCs w:val="24"/>
        </w:rPr>
        <w:t>年</w:t>
      </w:r>
      <w:r>
        <w:rPr>
          <w:rFonts w:eastAsia="宋体" w:cs="Times New Roman"/>
          <w:sz w:val="24"/>
          <w:szCs w:val="24"/>
        </w:rPr>
        <w:t>6</w:t>
      </w:r>
      <w:r>
        <w:rPr>
          <w:rFonts w:eastAsia="宋体" w:cs="Times New Roman"/>
          <w:sz w:val="24"/>
          <w:szCs w:val="24"/>
        </w:rPr>
        <w:t>月我国网络视频、网络购物、网上外卖、在线办公、远程医疗用户规模分别达到</w:t>
      </w:r>
      <w:r>
        <w:rPr>
          <w:rFonts w:eastAsia="宋体" w:cs="Times New Roman"/>
          <w:sz w:val="24"/>
          <w:szCs w:val="24"/>
        </w:rPr>
        <w:t>9.44</w:t>
      </w:r>
      <w:r>
        <w:rPr>
          <w:rFonts w:eastAsia="宋体" w:cs="Times New Roman"/>
          <w:sz w:val="24"/>
          <w:szCs w:val="24"/>
        </w:rPr>
        <w:t>亿、</w:t>
      </w:r>
      <w:r>
        <w:rPr>
          <w:rFonts w:eastAsia="宋体" w:cs="Times New Roman"/>
          <w:sz w:val="24"/>
          <w:szCs w:val="24"/>
        </w:rPr>
        <w:t>8.12</w:t>
      </w:r>
      <w:r>
        <w:rPr>
          <w:rFonts w:eastAsia="宋体" w:cs="Times New Roman"/>
          <w:sz w:val="24"/>
          <w:szCs w:val="24"/>
        </w:rPr>
        <w:t>亿、</w:t>
      </w:r>
      <w:r>
        <w:rPr>
          <w:rFonts w:eastAsia="宋体" w:cs="Times New Roman"/>
          <w:sz w:val="24"/>
          <w:szCs w:val="24"/>
        </w:rPr>
        <w:t>4.69</w:t>
      </w:r>
      <w:r>
        <w:rPr>
          <w:rFonts w:eastAsia="宋体" w:cs="Times New Roman"/>
          <w:sz w:val="24"/>
          <w:szCs w:val="24"/>
        </w:rPr>
        <w:t>亿、</w:t>
      </w:r>
      <w:r>
        <w:rPr>
          <w:rFonts w:eastAsia="宋体" w:cs="Times New Roman"/>
          <w:sz w:val="24"/>
          <w:szCs w:val="24"/>
        </w:rPr>
        <w:t>3.81</w:t>
      </w:r>
      <w:r>
        <w:rPr>
          <w:rFonts w:eastAsia="宋体" w:cs="Times New Roman"/>
          <w:sz w:val="24"/>
          <w:szCs w:val="24"/>
        </w:rPr>
        <w:t>亿、</w:t>
      </w:r>
      <w:r>
        <w:rPr>
          <w:rFonts w:eastAsia="宋体" w:cs="Times New Roman"/>
          <w:sz w:val="24"/>
          <w:szCs w:val="24"/>
        </w:rPr>
        <w:t>2.39</w:t>
      </w:r>
      <w:r>
        <w:rPr>
          <w:rFonts w:eastAsia="宋体" w:cs="Times New Roman"/>
          <w:sz w:val="24"/>
          <w:szCs w:val="24"/>
        </w:rPr>
        <w:t>亿，全国网上零售额达</w:t>
      </w:r>
      <w:r>
        <w:rPr>
          <w:rFonts w:eastAsia="宋体" w:cs="Times New Roman"/>
          <w:sz w:val="24"/>
          <w:szCs w:val="24"/>
        </w:rPr>
        <w:t>6.11</w:t>
      </w:r>
      <w:r>
        <w:rPr>
          <w:rFonts w:eastAsia="宋体" w:cs="Times New Roman"/>
          <w:sz w:val="24"/>
          <w:szCs w:val="24"/>
        </w:rPr>
        <w:t>万亿元，同比增长</w:t>
      </w:r>
      <w:r>
        <w:rPr>
          <w:rFonts w:eastAsia="宋体" w:cs="Times New Roman"/>
          <w:sz w:val="24"/>
          <w:szCs w:val="24"/>
        </w:rPr>
        <w:t>23.2%</w:t>
      </w:r>
      <w:r>
        <w:rPr>
          <w:rFonts w:eastAsia="宋体" w:cs="Times New Roman"/>
          <w:sz w:val="24"/>
          <w:szCs w:val="24"/>
        </w:rPr>
        <w:t>。</w:t>
      </w:r>
    </w:p>
    <w:p w14:paraId="467969F5" w14:textId="77777777" w:rsidR="00602083" w:rsidRDefault="00E51994">
      <w:pPr>
        <w:pStyle w:val="3"/>
        <w:spacing w:before="192" w:after="240"/>
        <w:ind w:firstLine="480"/>
      </w:pPr>
      <w:bookmarkStart w:id="16" w:name="_Toc2550"/>
      <w:bookmarkStart w:id="17" w:name="_Toc92734341"/>
      <w:bookmarkStart w:id="18" w:name="_Toc93925266"/>
      <w:r>
        <w:rPr>
          <w:rFonts w:hint="eastAsia"/>
        </w:rPr>
        <w:t>（二）</w:t>
      </w:r>
      <w:r>
        <w:t>数字经济是就业形势紧平衡的新变量</w:t>
      </w:r>
      <w:bookmarkEnd w:id="16"/>
      <w:bookmarkEnd w:id="17"/>
      <w:bookmarkEnd w:id="18"/>
    </w:p>
    <w:p w14:paraId="3AE2C8BA" w14:textId="77777777" w:rsidR="00602083" w:rsidRDefault="00E51994">
      <w:pPr>
        <w:spacing w:line="360" w:lineRule="auto"/>
        <w:ind w:firstLine="480"/>
        <w:rPr>
          <w:rFonts w:eastAsia="宋体" w:cs="Times New Roman"/>
          <w:sz w:val="24"/>
          <w:szCs w:val="24"/>
        </w:rPr>
      </w:pPr>
      <w:r>
        <w:rPr>
          <w:rFonts w:eastAsia="宋体" w:cs="Times New Roman"/>
          <w:sz w:val="24"/>
          <w:szCs w:val="24"/>
        </w:rPr>
        <w:t>近年来全国总体就业形势基本稳定。</w:t>
      </w:r>
      <w:r>
        <w:rPr>
          <w:rFonts w:eastAsia="宋体" w:cs="Times New Roman" w:hint="eastAsia"/>
          <w:sz w:val="24"/>
          <w:szCs w:val="24"/>
        </w:rPr>
        <w:t>“</w:t>
      </w:r>
      <w:r>
        <w:rPr>
          <w:rFonts w:eastAsia="宋体" w:cs="Times New Roman"/>
          <w:sz w:val="24"/>
          <w:szCs w:val="24"/>
        </w:rPr>
        <w:t>十三五</w:t>
      </w:r>
      <w:r>
        <w:rPr>
          <w:rFonts w:eastAsia="宋体" w:cs="Times New Roman" w:hint="eastAsia"/>
          <w:sz w:val="24"/>
          <w:szCs w:val="24"/>
        </w:rPr>
        <w:t>”</w:t>
      </w:r>
      <w:r>
        <w:rPr>
          <w:rFonts w:eastAsia="宋体" w:cs="Times New Roman"/>
          <w:sz w:val="24"/>
          <w:szCs w:val="24"/>
        </w:rPr>
        <w:t>时期，全国城镇新增就业累计达到</w:t>
      </w:r>
      <w:r>
        <w:rPr>
          <w:rFonts w:eastAsia="宋体" w:cs="Times New Roman"/>
          <w:sz w:val="24"/>
          <w:szCs w:val="24"/>
        </w:rPr>
        <w:t>6564</w:t>
      </w:r>
      <w:r>
        <w:rPr>
          <w:rFonts w:eastAsia="宋体" w:cs="Times New Roman"/>
          <w:sz w:val="24"/>
          <w:szCs w:val="24"/>
        </w:rPr>
        <w:t>万人，城镇调查失业率每年末维持在</w:t>
      </w:r>
      <w:r>
        <w:rPr>
          <w:rFonts w:eastAsia="宋体" w:cs="Times New Roman"/>
          <w:sz w:val="24"/>
          <w:szCs w:val="24"/>
        </w:rPr>
        <w:t>5.5%</w:t>
      </w:r>
      <w:r>
        <w:rPr>
          <w:rFonts w:eastAsia="宋体" w:cs="Times New Roman"/>
          <w:sz w:val="24"/>
          <w:szCs w:val="24"/>
        </w:rPr>
        <w:t>以内，城镇登记失业率保持在</w:t>
      </w:r>
      <w:r>
        <w:rPr>
          <w:rFonts w:eastAsia="宋体" w:cs="Times New Roman"/>
          <w:sz w:val="24"/>
          <w:szCs w:val="24"/>
        </w:rPr>
        <w:t>4.2%</w:t>
      </w:r>
      <w:r>
        <w:rPr>
          <w:rFonts w:eastAsia="宋体" w:cs="Times New Roman"/>
          <w:sz w:val="24"/>
          <w:szCs w:val="24"/>
        </w:rPr>
        <w:t>以内，劳动力市场求人倍率稳定在</w:t>
      </w:r>
      <w:r>
        <w:rPr>
          <w:rFonts w:eastAsia="宋体" w:cs="Times New Roman"/>
          <w:sz w:val="24"/>
          <w:szCs w:val="24"/>
        </w:rPr>
        <w:t>1</w:t>
      </w:r>
      <w:r>
        <w:rPr>
          <w:rFonts w:eastAsia="宋体" w:cs="Times New Roman"/>
          <w:sz w:val="24"/>
          <w:szCs w:val="24"/>
        </w:rPr>
        <w:t>以上，高校毕业生初次就业率持续稳定在</w:t>
      </w:r>
      <w:r>
        <w:rPr>
          <w:rFonts w:eastAsia="宋体" w:cs="Times New Roman"/>
          <w:sz w:val="24"/>
          <w:szCs w:val="24"/>
        </w:rPr>
        <w:t>77%</w:t>
      </w:r>
      <w:r>
        <w:rPr>
          <w:rFonts w:eastAsia="宋体" w:cs="Times New Roman"/>
          <w:sz w:val="24"/>
          <w:szCs w:val="24"/>
        </w:rPr>
        <w:t>以上，总体就业率达到</w:t>
      </w:r>
      <w:r>
        <w:rPr>
          <w:rFonts w:eastAsia="宋体" w:cs="Times New Roman"/>
          <w:sz w:val="24"/>
          <w:szCs w:val="24"/>
        </w:rPr>
        <w:t>90%</w:t>
      </w:r>
      <w:r>
        <w:rPr>
          <w:rFonts w:eastAsia="宋体" w:cs="Times New Roman"/>
          <w:sz w:val="24"/>
          <w:szCs w:val="24"/>
        </w:rPr>
        <w:t>以上，农民工就业总体稳定，退役军人就业工作成效明显，大众创业万众创新走深走实，全国年均净增市场主体</w:t>
      </w:r>
      <w:r>
        <w:rPr>
          <w:rFonts w:eastAsia="宋体" w:cs="Times New Roman"/>
          <w:sz w:val="24"/>
          <w:szCs w:val="24"/>
        </w:rPr>
        <w:t>1247.7</w:t>
      </w:r>
      <w:r>
        <w:rPr>
          <w:rFonts w:eastAsia="宋体" w:cs="Times New Roman"/>
          <w:sz w:val="24"/>
          <w:szCs w:val="24"/>
        </w:rPr>
        <w:t>万户，新登记注册的大学生创业者数量年均增长</w:t>
      </w:r>
      <w:r>
        <w:rPr>
          <w:rFonts w:eastAsia="宋体" w:cs="Times New Roman"/>
          <w:sz w:val="24"/>
          <w:szCs w:val="24"/>
        </w:rPr>
        <w:t>9%</w:t>
      </w:r>
      <w:r>
        <w:rPr>
          <w:rFonts w:eastAsia="宋体" w:cs="Times New Roman"/>
          <w:sz w:val="24"/>
          <w:szCs w:val="24"/>
        </w:rPr>
        <w:t>以上，全国返乡入乡创业人员总数近</w:t>
      </w:r>
      <w:r>
        <w:rPr>
          <w:rFonts w:eastAsia="宋体" w:cs="Times New Roman"/>
          <w:sz w:val="24"/>
          <w:szCs w:val="24"/>
        </w:rPr>
        <w:t>900</w:t>
      </w:r>
      <w:r>
        <w:rPr>
          <w:rFonts w:eastAsia="宋体" w:cs="Times New Roman"/>
          <w:sz w:val="24"/>
          <w:szCs w:val="24"/>
        </w:rPr>
        <w:t>万人，带动就业超过</w:t>
      </w:r>
      <w:r>
        <w:rPr>
          <w:rFonts w:eastAsia="宋体" w:cs="Times New Roman"/>
          <w:sz w:val="24"/>
          <w:szCs w:val="24"/>
        </w:rPr>
        <w:t>3000</w:t>
      </w:r>
      <w:r>
        <w:rPr>
          <w:rFonts w:eastAsia="宋体" w:cs="Times New Roman"/>
          <w:sz w:val="24"/>
          <w:szCs w:val="24"/>
        </w:rPr>
        <w:t>万人，我国已建成世界上规模最大的社会保障体系，基本医疗保险覆盖人数超过</w:t>
      </w:r>
      <w:r>
        <w:rPr>
          <w:rFonts w:eastAsia="宋体" w:cs="Times New Roman"/>
          <w:sz w:val="24"/>
          <w:szCs w:val="24"/>
        </w:rPr>
        <w:t>13</w:t>
      </w:r>
      <w:r>
        <w:rPr>
          <w:rFonts w:eastAsia="宋体" w:cs="Times New Roman"/>
          <w:sz w:val="24"/>
          <w:szCs w:val="24"/>
        </w:rPr>
        <w:t>亿人，基本养老保险覆盖近</w:t>
      </w:r>
      <w:r>
        <w:rPr>
          <w:rFonts w:eastAsia="宋体" w:cs="Times New Roman"/>
          <w:sz w:val="24"/>
          <w:szCs w:val="24"/>
        </w:rPr>
        <w:t>10</w:t>
      </w:r>
      <w:r>
        <w:rPr>
          <w:rFonts w:eastAsia="宋体" w:cs="Times New Roman"/>
          <w:sz w:val="24"/>
          <w:szCs w:val="24"/>
        </w:rPr>
        <w:t>亿人。</w:t>
      </w:r>
    </w:p>
    <w:p w14:paraId="293B508D" w14:textId="77777777" w:rsidR="00602083" w:rsidRDefault="00E51994">
      <w:pPr>
        <w:spacing w:line="360" w:lineRule="auto"/>
        <w:ind w:firstLine="480"/>
        <w:rPr>
          <w:rFonts w:eastAsia="宋体" w:cs="Times New Roman"/>
          <w:b/>
          <w:bCs/>
          <w:sz w:val="24"/>
          <w:szCs w:val="24"/>
        </w:rPr>
      </w:pPr>
      <w:r>
        <w:rPr>
          <w:rFonts w:eastAsia="宋体" w:cs="Times New Roman" w:hint="eastAsia"/>
          <w:sz w:val="24"/>
          <w:szCs w:val="24"/>
        </w:rPr>
        <w:t>“</w:t>
      </w:r>
      <w:r>
        <w:rPr>
          <w:rFonts w:eastAsia="宋体" w:cs="Times New Roman"/>
          <w:sz w:val="24"/>
          <w:szCs w:val="24"/>
        </w:rPr>
        <w:t>十四五</w:t>
      </w:r>
      <w:r>
        <w:rPr>
          <w:rFonts w:eastAsia="宋体" w:cs="Times New Roman" w:hint="eastAsia"/>
          <w:sz w:val="24"/>
          <w:szCs w:val="24"/>
        </w:rPr>
        <w:t>”</w:t>
      </w:r>
      <w:r>
        <w:rPr>
          <w:rFonts w:eastAsia="宋体" w:cs="Times New Roman"/>
          <w:sz w:val="24"/>
          <w:szCs w:val="24"/>
        </w:rPr>
        <w:t>时期国内外不确定不稳定因素日益增多，经济全球化遭遇逆流，新冠肺炎疫情影响深远，国内人口结构深刻变化，体制性周期性问题相互交织，对劳动力市场带来巨大影响，就业总量压力与结构性矛盾并存，稳定促进就业依然任务艰巨。数字经济已经成为我国就业重要的新增长点，中国信通院数据显示，</w:t>
      </w:r>
      <w:r>
        <w:rPr>
          <w:rFonts w:eastAsia="宋体" w:cs="Times New Roman"/>
          <w:sz w:val="24"/>
          <w:szCs w:val="24"/>
        </w:rPr>
        <w:t>2018</w:t>
      </w:r>
      <w:r>
        <w:rPr>
          <w:rFonts w:eastAsia="宋体" w:cs="Times New Roman"/>
          <w:sz w:val="24"/>
          <w:szCs w:val="24"/>
        </w:rPr>
        <w:t>年我国数字经济领域就业人数达到</w:t>
      </w:r>
      <w:r>
        <w:rPr>
          <w:rFonts w:eastAsia="宋体" w:cs="Times New Roman"/>
          <w:sz w:val="24"/>
          <w:szCs w:val="24"/>
        </w:rPr>
        <w:t>1.91</w:t>
      </w:r>
      <w:r>
        <w:rPr>
          <w:rFonts w:eastAsia="宋体" w:cs="Times New Roman"/>
          <w:sz w:val="24"/>
          <w:szCs w:val="24"/>
        </w:rPr>
        <w:t>亿人次，占全年总就业人数的</w:t>
      </w:r>
      <w:r>
        <w:rPr>
          <w:rFonts w:eastAsia="宋体" w:cs="Times New Roman"/>
          <w:sz w:val="24"/>
          <w:szCs w:val="24"/>
        </w:rPr>
        <w:t>24.6%</w:t>
      </w:r>
      <w:r>
        <w:rPr>
          <w:rFonts w:eastAsia="宋体" w:cs="Times New Roman"/>
          <w:sz w:val="24"/>
          <w:szCs w:val="24"/>
        </w:rPr>
        <w:t>，在全国总就业</w:t>
      </w:r>
      <w:r>
        <w:rPr>
          <w:rFonts w:eastAsia="宋体" w:cs="Times New Roman"/>
          <w:sz w:val="24"/>
          <w:szCs w:val="24"/>
        </w:rPr>
        <w:lastRenderedPageBreak/>
        <w:t>人数同比下降</w:t>
      </w:r>
      <w:r>
        <w:rPr>
          <w:rFonts w:eastAsia="宋体" w:cs="Times New Roman"/>
          <w:sz w:val="24"/>
          <w:szCs w:val="24"/>
        </w:rPr>
        <w:t>0.07%</w:t>
      </w:r>
      <w:r>
        <w:rPr>
          <w:rFonts w:eastAsia="宋体" w:cs="Times New Roman"/>
          <w:sz w:val="24"/>
          <w:szCs w:val="24"/>
        </w:rPr>
        <w:t>的背景下，数字经济领域就业人数实现高速增长，同比增长</w:t>
      </w:r>
      <w:r>
        <w:rPr>
          <w:rFonts w:eastAsia="宋体" w:cs="Times New Roman"/>
          <w:sz w:val="24"/>
          <w:szCs w:val="24"/>
        </w:rPr>
        <w:t>11.5%</w:t>
      </w:r>
      <w:r>
        <w:rPr>
          <w:rFonts w:eastAsia="宋体" w:cs="Times New Roman"/>
          <w:sz w:val="24"/>
          <w:szCs w:val="24"/>
        </w:rPr>
        <w:t>，其中，数字产业化部分就业人数达到</w:t>
      </w:r>
      <w:r>
        <w:rPr>
          <w:rFonts w:eastAsia="宋体" w:cs="Times New Roman"/>
          <w:sz w:val="24"/>
          <w:szCs w:val="24"/>
        </w:rPr>
        <w:t>1220</w:t>
      </w:r>
      <w:r>
        <w:rPr>
          <w:rFonts w:eastAsia="宋体" w:cs="Times New Roman"/>
          <w:sz w:val="24"/>
          <w:szCs w:val="24"/>
        </w:rPr>
        <w:t>万人，同比增长</w:t>
      </w:r>
      <w:r>
        <w:rPr>
          <w:rFonts w:eastAsia="宋体" w:cs="Times New Roman"/>
          <w:sz w:val="24"/>
          <w:szCs w:val="24"/>
        </w:rPr>
        <w:t>9.4%</w:t>
      </w:r>
      <w:r>
        <w:rPr>
          <w:rFonts w:eastAsia="宋体" w:cs="Times New Roman"/>
          <w:sz w:val="24"/>
          <w:szCs w:val="24"/>
        </w:rPr>
        <w:t>，产业数字化部分就业人数达到</w:t>
      </w:r>
      <w:r>
        <w:rPr>
          <w:rFonts w:eastAsia="宋体" w:cs="Times New Roman"/>
          <w:sz w:val="24"/>
          <w:szCs w:val="24"/>
        </w:rPr>
        <w:t>1.78</w:t>
      </w:r>
      <w:r>
        <w:rPr>
          <w:rFonts w:eastAsia="宋体" w:cs="Times New Roman"/>
          <w:sz w:val="24"/>
          <w:szCs w:val="24"/>
        </w:rPr>
        <w:t>亿人，同比增长</w:t>
      </w:r>
      <w:r>
        <w:rPr>
          <w:rFonts w:eastAsia="宋体" w:cs="Times New Roman"/>
          <w:sz w:val="24"/>
          <w:szCs w:val="24"/>
        </w:rPr>
        <w:t>11.6%</w:t>
      </w:r>
      <w:r>
        <w:rPr>
          <w:rFonts w:eastAsia="宋体" w:cs="Times New Roman"/>
          <w:sz w:val="24"/>
          <w:szCs w:val="24"/>
        </w:rPr>
        <w:t>。</w:t>
      </w:r>
    </w:p>
    <w:p w14:paraId="638E07EA" w14:textId="77777777" w:rsidR="00602083" w:rsidRDefault="00E51994">
      <w:pPr>
        <w:pStyle w:val="3"/>
        <w:spacing w:before="192" w:after="240"/>
        <w:ind w:firstLine="480"/>
      </w:pPr>
      <w:bookmarkStart w:id="19" w:name="_Toc93925267"/>
      <w:bookmarkStart w:id="20" w:name="_Toc25752"/>
      <w:bookmarkStart w:id="21" w:name="_Toc92734342"/>
      <w:r>
        <w:rPr>
          <w:rFonts w:hint="eastAsia"/>
        </w:rPr>
        <w:t>（三）</w:t>
      </w:r>
      <w:r>
        <w:t>数字经济是影响收入分配格局新要素</w:t>
      </w:r>
      <w:bookmarkEnd w:id="19"/>
      <w:bookmarkEnd w:id="20"/>
      <w:bookmarkEnd w:id="21"/>
    </w:p>
    <w:p w14:paraId="5AD27BEA" w14:textId="77777777" w:rsidR="00602083" w:rsidRDefault="00E51994">
      <w:pPr>
        <w:spacing w:line="360" w:lineRule="auto"/>
        <w:ind w:firstLine="480"/>
        <w:rPr>
          <w:rFonts w:eastAsia="宋体" w:cs="Times New Roman"/>
          <w:sz w:val="24"/>
          <w:szCs w:val="24"/>
        </w:rPr>
      </w:pPr>
      <w:r>
        <w:rPr>
          <w:rFonts w:eastAsia="宋体" w:cs="Times New Roman"/>
          <w:sz w:val="24"/>
          <w:szCs w:val="24"/>
        </w:rPr>
        <w:t>本世纪以来，尤其是党的十八大以来，由于城乡融合发展、农业农村建设、脱贫攻坚战略的推进，城乡居民人均可支配收入比从</w:t>
      </w:r>
      <w:r>
        <w:rPr>
          <w:rFonts w:eastAsia="宋体" w:cs="Times New Roman"/>
          <w:sz w:val="24"/>
          <w:szCs w:val="24"/>
        </w:rPr>
        <w:t>2011</w:t>
      </w:r>
      <w:r>
        <w:rPr>
          <w:rFonts w:eastAsia="宋体" w:cs="Times New Roman"/>
          <w:sz w:val="24"/>
          <w:szCs w:val="24"/>
        </w:rPr>
        <w:t>年的</w:t>
      </w:r>
      <w:r>
        <w:rPr>
          <w:rFonts w:eastAsia="宋体" w:cs="Times New Roman"/>
          <w:sz w:val="24"/>
          <w:szCs w:val="24"/>
        </w:rPr>
        <w:t>3.13</w:t>
      </w:r>
      <w:r>
        <w:rPr>
          <w:rFonts w:eastAsia="宋体" w:hint="eastAsia"/>
          <w:sz w:val="24"/>
          <w:szCs w:val="24"/>
        </w:rPr>
        <w:t>∶</w:t>
      </w:r>
      <w:r>
        <w:rPr>
          <w:rFonts w:eastAsia="宋体" w:cs="Times New Roman"/>
          <w:sz w:val="24"/>
          <w:szCs w:val="24"/>
        </w:rPr>
        <w:t>1</w:t>
      </w:r>
      <w:r>
        <w:rPr>
          <w:rFonts w:eastAsia="宋体" w:cs="Times New Roman"/>
          <w:sz w:val="24"/>
          <w:szCs w:val="24"/>
        </w:rPr>
        <w:t>稳步下降到</w:t>
      </w:r>
      <w:r>
        <w:rPr>
          <w:rFonts w:eastAsia="宋体" w:cs="Times New Roman"/>
          <w:sz w:val="24"/>
          <w:szCs w:val="24"/>
        </w:rPr>
        <w:t>2020</w:t>
      </w:r>
      <w:r>
        <w:rPr>
          <w:rFonts w:eastAsia="宋体" w:cs="Times New Roman"/>
          <w:sz w:val="24"/>
          <w:szCs w:val="24"/>
        </w:rPr>
        <w:t>年的</w:t>
      </w:r>
      <w:r>
        <w:rPr>
          <w:rFonts w:eastAsia="宋体" w:cs="Times New Roman"/>
          <w:sz w:val="24"/>
          <w:szCs w:val="24"/>
        </w:rPr>
        <w:t>2.56</w:t>
      </w:r>
      <w:r>
        <w:rPr>
          <w:rFonts w:eastAsia="宋体" w:hint="eastAsia"/>
          <w:sz w:val="24"/>
          <w:szCs w:val="24"/>
        </w:rPr>
        <w:t>∶</w:t>
      </w:r>
      <w:r>
        <w:rPr>
          <w:rFonts w:eastAsia="宋体" w:cs="Times New Roman"/>
          <w:sz w:val="24"/>
          <w:szCs w:val="24"/>
        </w:rPr>
        <w:t>1</w:t>
      </w:r>
      <w:r>
        <w:rPr>
          <w:rFonts w:eastAsia="宋体" w:cs="Times New Roman"/>
          <w:sz w:val="24"/>
          <w:szCs w:val="24"/>
        </w:rPr>
        <w:t>，城乡居民人均可支配收入基尼系数从</w:t>
      </w:r>
      <w:r>
        <w:rPr>
          <w:rFonts w:eastAsia="宋体" w:cs="Times New Roman"/>
          <w:sz w:val="24"/>
          <w:szCs w:val="24"/>
        </w:rPr>
        <w:t>2011</w:t>
      </w:r>
      <w:r>
        <w:rPr>
          <w:rFonts w:eastAsia="宋体" w:cs="Times New Roman"/>
          <w:sz w:val="24"/>
          <w:szCs w:val="24"/>
        </w:rPr>
        <w:t>年的</w:t>
      </w:r>
      <w:r>
        <w:rPr>
          <w:rFonts w:eastAsia="宋体" w:cs="Times New Roman"/>
          <w:sz w:val="24"/>
          <w:szCs w:val="24"/>
        </w:rPr>
        <w:t>0.477</w:t>
      </w:r>
      <w:r>
        <w:rPr>
          <w:rFonts w:eastAsia="宋体" w:cs="Times New Roman"/>
          <w:sz w:val="24"/>
          <w:szCs w:val="24"/>
        </w:rPr>
        <w:t>稳步下降到</w:t>
      </w:r>
      <w:r>
        <w:rPr>
          <w:rFonts w:eastAsia="宋体" w:cs="Times New Roman"/>
          <w:sz w:val="24"/>
          <w:szCs w:val="24"/>
        </w:rPr>
        <w:t>2019</w:t>
      </w:r>
      <w:r>
        <w:rPr>
          <w:rFonts w:eastAsia="宋体" w:cs="Times New Roman"/>
          <w:sz w:val="24"/>
          <w:szCs w:val="24"/>
        </w:rPr>
        <w:t>年的</w:t>
      </w:r>
      <w:r>
        <w:rPr>
          <w:rFonts w:eastAsia="宋体" w:cs="Times New Roman"/>
          <w:sz w:val="24"/>
          <w:szCs w:val="24"/>
        </w:rPr>
        <w:t>0.465</w:t>
      </w:r>
      <w:r>
        <w:rPr>
          <w:rFonts w:eastAsia="宋体" w:cs="Times New Roman"/>
          <w:sz w:val="24"/>
          <w:szCs w:val="24"/>
        </w:rPr>
        <w:t>。城乡居民收入分配差距变化的背后，是农业与非农业劳动生产率差距的不断缩小，本世纪以来农业与非农业劳动生产率的差距大约缩小</w:t>
      </w:r>
      <w:r>
        <w:rPr>
          <w:rFonts w:eastAsia="宋体" w:cs="Times New Roman"/>
          <w:sz w:val="24"/>
          <w:szCs w:val="24"/>
        </w:rPr>
        <w:t>50%</w:t>
      </w:r>
      <w:r>
        <w:rPr>
          <w:rFonts w:eastAsia="宋体" w:cs="Times New Roman"/>
          <w:sz w:val="24"/>
          <w:szCs w:val="24"/>
        </w:rPr>
        <w:t>左右。当然不然忽视的是，</w:t>
      </w:r>
      <w:r>
        <w:rPr>
          <w:rFonts w:eastAsia="宋体" w:cs="Times New Roman"/>
          <w:sz w:val="24"/>
          <w:szCs w:val="24"/>
        </w:rPr>
        <w:t>2019</w:t>
      </w:r>
      <w:r>
        <w:rPr>
          <w:rFonts w:eastAsia="宋体" w:cs="Times New Roman"/>
          <w:sz w:val="24"/>
          <w:szCs w:val="24"/>
        </w:rPr>
        <w:t>年我国月均可支配收入低于</w:t>
      </w:r>
      <w:r>
        <w:rPr>
          <w:rFonts w:eastAsia="宋体" w:cs="Times New Roman"/>
          <w:sz w:val="24"/>
          <w:szCs w:val="24"/>
        </w:rPr>
        <w:t>1000</w:t>
      </w:r>
      <w:r>
        <w:rPr>
          <w:rFonts w:eastAsia="宋体" w:cs="Times New Roman"/>
          <w:sz w:val="24"/>
          <w:szCs w:val="24"/>
        </w:rPr>
        <w:t>元的人约为</w:t>
      </w:r>
      <w:r>
        <w:rPr>
          <w:rFonts w:eastAsia="宋体" w:cs="Times New Roman"/>
          <w:sz w:val="24"/>
          <w:szCs w:val="24"/>
        </w:rPr>
        <w:t>3</w:t>
      </w:r>
      <w:r>
        <w:rPr>
          <w:rFonts w:eastAsia="宋体" w:cs="Times New Roman"/>
          <w:sz w:val="24"/>
          <w:szCs w:val="24"/>
        </w:rPr>
        <w:t>亿，基尼系数仍然高达</w:t>
      </w:r>
      <w:r>
        <w:rPr>
          <w:rFonts w:eastAsia="宋体" w:cs="Times New Roman"/>
          <w:sz w:val="24"/>
          <w:szCs w:val="24"/>
        </w:rPr>
        <w:t>0.465</w:t>
      </w:r>
      <w:r>
        <w:rPr>
          <w:rFonts w:eastAsia="宋体" w:cs="Times New Roman"/>
          <w:sz w:val="24"/>
          <w:szCs w:val="24"/>
        </w:rPr>
        <w:t>。</w:t>
      </w:r>
    </w:p>
    <w:p w14:paraId="57E8AD07" w14:textId="77777777" w:rsidR="00602083" w:rsidRDefault="00E51994">
      <w:pPr>
        <w:pStyle w:val="affe"/>
      </w:pPr>
      <w:r>
        <w:t>表</w:t>
      </w:r>
      <w:r>
        <w:t xml:space="preserve">1  </w:t>
      </w:r>
      <w:r>
        <w:t>典型国家收入分配及国内贫困率</w:t>
      </w:r>
    </w:p>
    <w:tbl>
      <w:tblPr>
        <w:tblW w:w="5000"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1863"/>
        <w:gridCol w:w="2028"/>
        <w:gridCol w:w="1685"/>
        <w:gridCol w:w="3134"/>
      </w:tblGrid>
      <w:tr w:rsidR="00602083" w14:paraId="2D0785FB" w14:textId="77777777">
        <w:trPr>
          <w:cantSplit/>
          <w:trHeight w:val="90"/>
          <w:jc w:val="center"/>
        </w:trPr>
        <w:tc>
          <w:tcPr>
            <w:tcW w:w="1070" w:type="pct"/>
            <w:shd w:val="clear" w:color="auto" w:fill="auto"/>
            <w:noWrap/>
            <w:vAlign w:val="center"/>
          </w:tcPr>
          <w:p w14:paraId="1442CA66"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典型国家</w:t>
            </w:r>
          </w:p>
        </w:tc>
        <w:tc>
          <w:tcPr>
            <w:tcW w:w="1164" w:type="pct"/>
            <w:shd w:val="clear" w:color="auto" w:fill="auto"/>
            <w:noWrap/>
            <w:vAlign w:val="center"/>
          </w:tcPr>
          <w:p w14:paraId="615B7143"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国内贫困率</w:t>
            </w:r>
          </w:p>
        </w:tc>
        <w:tc>
          <w:tcPr>
            <w:tcW w:w="967" w:type="pct"/>
            <w:shd w:val="clear" w:color="auto" w:fill="auto"/>
            <w:noWrap/>
            <w:vAlign w:val="center"/>
          </w:tcPr>
          <w:p w14:paraId="0C14F8C0"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基尼系数</w:t>
            </w:r>
          </w:p>
        </w:tc>
        <w:tc>
          <w:tcPr>
            <w:tcW w:w="1800" w:type="pct"/>
            <w:shd w:val="clear" w:color="auto" w:fill="auto"/>
            <w:noWrap/>
            <w:vAlign w:val="center"/>
          </w:tcPr>
          <w:p w14:paraId="1B979653"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最低收入的</w:t>
            </w:r>
            <w:r>
              <w:rPr>
                <w:rFonts w:eastAsia="宋体" w:cs="Times New Roman"/>
                <w:sz w:val="21"/>
                <w:szCs w:val="21"/>
              </w:rPr>
              <w:t>20%</w:t>
            </w:r>
            <w:r>
              <w:rPr>
                <w:rFonts w:eastAsia="宋体" w:cs="Times New Roman"/>
                <w:sz w:val="21"/>
                <w:szCs w:val="21"/>
              </w:rPr>
              <w:t>群体</w:t>
            </w:r>
          </w:p>
          <w:p w14:paraId="216EA6F3"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占全部收入的比重</w:t>
            </w:r>
          </w:p>
        </w:tc>
      </w:tr>
      <w:tr w:rsidR="00602083" w14:paraId="3A59EBEF" w14:textId="77777777">
        <w:trPr>
          <w:cantSplit/>
          <w:trHeight w:val="90"/>
          <w:jc w:val="center"/>
        </w:trPr>
        <w:tc>
          <w:tcPr>
            <w:tcW w:w="1070" w:type="pct"/>
            <w:shd w:val="clear" w:color="auto" w:fill="auto"/>
            <w:noWrap/>
            <w:vAlign w:val="center"/>
          </w:tcPr>
          <w:p w14:paraId="14ABAF86"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英国</w:t>
            </w:r>
          </w:p>
        </w:tc>
        <w:tc>
          <w:tcPr>
            <w:tcW w:w="1164" w:type="pct"/>
            <w:shd w:val="clear" w:color="auto" w:fill="auto"/>
            <w:noWrap/>
            <w:vAlign w:val="center"/>
          </w:tcPr>
          <w:p w14:paraId="19796A2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18.6</w:t>
            </w:r>
          </w:p>
        </w:tc>
        <w:tc>
          <w:tcPr>
            <w:tcW w:w="967" w:type="pct"/>
            <w:shd w:val="clear" w:color="auto" w:fill="auto"/>
            <w:noWrap/>
            <w:vAlign w:val="center"/>
          </w:tcPr>
          <w:p w14:paraId="61E9C556"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0.35</w:t>
            </w:r>
          </w:p>
        </w:tc>
        <w:tc>
          <w:tcPr>
            <w:tcW w:w="1800" w:type="pct"/>
            <w:shd w:val="clear" w:color="auto" w:fill="auto"/>
            <w:noWrap/>
            <w:vAlign w:val="center"/>
          </w:tcPr>
          <w:p w14:paraId="60446169"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7.1</w:t>
            </w:r>
          </w:p>
        </w:tc>
      </w:tr>
      <w:tr w:rsidR="00602083" w14:paraId="69C26025" w14:textId="77777777">
        <w:trPr>
          <w:cantSplit/>
          <w:trHeight w:val="90"/>
          <w:jc w:val="center"/>
        </w:trPr>
        <w:tc>
          <w:tcPr>
            <w:tcW w:w="1070" w:type="pct"/>
            <w:shd w:val="clear" w:color="auto" w:fill="auto"/>
            <w:noWrap/>
            <w:vAlign w:val="center"/>
          </w:tcPr>
          <w:p w14:paraId="26BD1428"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西班牙</w:t>
            </w:r>
          </w:p>
        </w:tc>
        <w:tc>
          <w:tcPr>
            <w:tcW w:w="1164" w:type="pct"/>
            <w:shd w:val="clear" w:color="auto" w:fill="auto"/>
            <w:noWrap/>
            <w:vAlign w:val="center"/>
          </w:tcPr>
          <w:p w14:paraId="3EBAFE53"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20.7</w:t>
            </w:r>
          </w:p>
        </w:tc>
        <w:tc>
          <w:tcPr>
            <w:tcW w:w="967" w:type="pct"/>
            <w:shd w:val="clear" w:color="auto" w:fill="auto"/>
            <w:noWrap/>
            <w:vAlign w:val="center"/>
          </w:tcPr>
          <w:p w14:paraId="26BB8E0C"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0.35</w:t>
            </w:r>
          </w:p>
        </w:tc>
        <w:tc>
          <w:tcPr>
            <w:tcW w:w="1800" w:type="pct"/>
            <w:shd w:val="clear" w:color="auto" w:fill="auto"/>
            <w:noWrap/>
            <w:vAlign w:val="center"/>
          </w:tcPr>
          <w:p w14:paraId="04451850"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6.2</w:t>
            </w:r>
          </w:p>
        </w:tc>
      </w:tr>
      <w:tr w:rsidR="00602083" w14:paraId="762ACF50" w14:textId="77777777">
        <w:trPr>
          <w:cantSplit/>
          <w:trHeight w:val="90"/>
          <w:jc w:val="center"/>
        </w:trPr>
        <w:tc>
          <w:tcPr>
            <w:tcW w:w="1070" w:type="pct"/>
            <w:shd w:val="clear" w:color="auto" w:fill="auto"/>
            <w:noWrap/>
            <w:vAlign w:val="center"/>
          </w:tcPr>
          <w:p w14:paraId="60EF564A"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美</w:t>
            </w:r>
            <w:r>
              <w:rPr>
                <w:rFonts w:eastAsia="宋体" w:cs="Times New Roman"/>
                <w:sz w:val="21"/>
                <w:szCs w:val="21"/>
              </w:rPr>
              <w:t xml:space="preserve"> </w:t>
            </w:r>
            <w:r>
              <w:rPr>
                <w:rFonts w:eastAsia="宋体" w:cs="Times New Roman"/>
                <w:sz w:val="21"/>
                <w:szCs w:val="21"/>
              </w:rPr>
              <w:t>国</w:t>
            </w:r>
          </w:p>
        </w:tc>
        <w:tc>
          <w:tcPr>
            <w:tcW w:w="1164" w:type="pct"/>
            <w:shd w:val="clear" w:color="auto" w:fill="auto"/>
            <w:noWrap/>
            <w:vAlign w:val="center"/>
          </w:tcPr>
          <w:p w14:paraId="58CE2F78"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w:t>
            </w:r>
          </w:p>
        </w:tc>
        <w:tc>
          <w:tcPr>
            <w:tcW w:w="967" w:type="pct"/>
            <w:shd w:val="clear" w:color="auto" w:fill="auto"/>
            <w:noWrap/>
            <w:vAlign w:val="center"/>
          </w:tcPr>
          <w:p w14:paraId="78FFFF9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0.41</w:t>
            </w:r>
          </w:p>
        </w:tc>
        <w:tc>
          <w:tcPr>
            <w:tcW w:w="1800" w:type="pct"/>
            <w:shd w:val="clear" w:color="auto" w:fill="auto"/>
            <w:noWrap/>
            <w:vAlign w:val="center"/>
          </w:tcPr>
          <w:p w14:paraId="0FFCF40A"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5.2</w:t>
            </w:r>
          </w:p>
        </w:tc>
      </w:tr>
      <w:tr w:rsidR="00602083" w14:paraId="2718DBCE" w14:textId="77777777">
        <w:trPr>
          <w:cantSplit/>
          <w:trHeight w:val="90"/>
          <w:jc w:val="center"/>
        </w:trPr>
        <w:tc>
          <w:tcPr>
            <w:tcW w:w="1070" w:type="pct"/>
            <w:shd w:val="clear" w:color="auto" w:fill="auto"/>
            <w:noWrap/>
            <w:vAlign w:val="center"/>
          </w:tcPr>
          <w:p w14:paraId="63602C4B"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墨西哥</w:t>
            </w:r>
          </w:p>
        </w:tc>
        <w:tc>
          <w:tcPr>
            <w:tcW w:w="1164" w:type="pct"/>
            <w:shd w:val="clear" w:color="auto" w:fill="auto"/>
            <w:noWrap/>
            <w:vAlign w:val="center"/>
          </w:tcPr>
          <w:p w14:paraId="7B901960"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41.9</w:t>
            </w:r>
          </w:p>
        </w:tc>
        <w:tc>
          <w:tcPr>
            <w:tcW w:w="967" w:type="pct"/>
            <w:shd w:val="clear" w:color="auto" w:fill="auto"/>
            <w:noWrap/>
            <w:vAlign w:val="center"/>
          </w:tcPr>
          <w:p w14:paraId="622A79CD"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0.45</w:t>
            </w:r>
          </w:p>
        </w:tc>
        <w:tc>
          <w:tcPr>
            <w:tcW w:w="1800" w:type="pct"/>
            <w:shd w:val="clear" w:color="auto" w:fill="auto"/>
            <w:noWrap/>
            <w:vAlign w:val="center"/>
          </w:tcPr>
          <w:p w14:paraId="128F861E"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5.4</w:t>
            </w:r>
          </w:p>
        </w:tc>
      </w:tr>
      <w:tr w:rsidR="00602083" w14:paraId="750C3C95" w14:textId="77777777">
        <w:trPr>
          <w:cantSplit/>
          <w:trHeight w:val="90"/>
          <w:jc w:val="center"/>
        </w:trPr>
        <w:tc>
          <w:tcPr>
            <w:tcW w:w="1070" w:type="pct"/>
            <w:shd w:val="clear" w:color="auto" w:fill="auto"/>
            <w:noWrap/>
            <w:vAlign w:val="center"/>
          </w:tcPr>
          <w:p w14:paraId="7FB53C6F"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阿根廷</w:t>
            </w:r>
          </w:p>
        </w:tc>
        <w:tc>
          <w:tcPr>
            <w:tcW w:w="1164" w:type="pct"/>
            <w:shd w:val="clear" w:color="auto" w:fill="auto"/>
            <w:noWrap/>
            <w:vAlign w:val="center"/>
          </w:tcPr>
          <w:p w14:paraId="66DC5CEB"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32</w:t>
            </w:r>
          </w:p>
        </w:tc>
        <w:tc>
          <w:tcPr>
            <w:tcW w:w="967" w:type="pct"/>
            <w:shd w:val="clear" w:color="auto" w:fill="auto"/>
            <w:noWrap/>
            <w:vAlign w:val="center"/>
          </w:tcPr>
          <w:p w14:paraId="2EE5811C"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0.41</w:t>
            </w:r>
          </w:p>
        </w:tc>
        <w:tc>
          <w:tcPr>
            <w:tcW w:w="1800" w:type="pct"/>
            <w:shd w:val="clear" w:color="auto" w:fill="auto"/>
            <w:noWrap/>
            <w:vAlign w:val="center"/>
          </w:tcPr>
          <w:p w14:paraId="3596CB91"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5</w:t>
            </w:r>
          </w:p>
        </w:tc>
      </w:tr>
      <w:tr w:rsidR="00602083" w14:paraId="72DCA6BA" w14:textId="77777777">
        <w:trPr>
          <w:cantSplit/>
          <w:trHeight w:val="90"/>
          <w:jc w:val="center"/>
        </w:trPr>
        <w:tc>
          <w:tcPr>
            <w:tcW w:w="1070" w:type="pct"/>
            <w:shd w:val="clear" w:color="auto" w:fill="auto"/>
            <w:noWrap/>
            <w:vAlign w:val="center"/>
          </w:tcPr>
          <w:p w14:paraId="717D2832"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巴</w:t>
            </w:r>
            <w:r>
              <w:rPr>
                <w:rFonts w:eastAsia="宋体" w:cs="Times New Roman"/>
                <w:sz w:val="21"/>
                <w:szCs w:val="21"/>
              </w:rPr>
              <w:t xml:space="preserve"> </w:t>
            </w:r>
            <w:r>
              <w:rPr>
                <w:rFonts w:eastAsia="宋体" w:cs="Times New Roman"/>
                <w:sz w:val="21"/>
                <w:szCs w:val="21"/>
              </w:rPr>
              <w:t>西</w:t>
            </w:r>
          </w:p>
        </w:tc>
        <w:tc>
          <w:tcPr>
            <w:tcW w:w="1164" w:type="pct"/>
            <w:shd w:val="clear" w:color="auto" w:fill="auto"/>
            <w:noWrap/>
            <w:vAlign w:val="center"/>
          </w:tcPr>
          <w:p w14:paraId="697C00F8"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26.5</w:t>
            </w:r>
          </w:p>
        </w:tc>
        <w:tc>
          <w:tcPr>
            <w:tcW w:w="967" w:type="pct"/>
            <w:shd w:val="clear" w:color="auto" w:fill="auto"/>
            <w:noWrap/>
            <w:vAlign w:val="center"/>
          </w:tcPr>
          <w:p w14:paraId="553E1F3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0.54</w:t>
            </w:r>
          </w:p>
        </w:tc>
        <w:tc>
          <w:tcPr>
            <w:tcW w:w="1800" w:type="pct"/>
            <w:shd w:val="clear" w:color="auto" w:fill="auto"/>
            <w:noWrap/>
            <w:vAlign w:val="center"/>
          </w:tcPr>
          <w:p w14:paraId="4B400A6C"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3.1</w:t>
            </w:r>
          </w:p>
        </w:tc>
      </w:tr>
      <w:tr w:rsidR="00602083" w14:paraId="740CE0C2" w14:textId="77777777">
        <w:trPr>
          <w:cantSplit/>
          <w:trHeight w:val="90"/>
          <w:jc w:val="center"/>
        </w:trPr>
        <w:tc>
          <w:tcPr>
            <w:tcW w:w="1070" w:type="pct"/>
            <w:shd w:val="clear" w:color="auto" w:fill="auto"/>
            <w:noWrap/>
            <w:vAlign w:val="center"/>
          </w:tcPr>
          <w:p w14:paraId="15F51114"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南</w:t>
            </w:r>
            <w:r>
              <w:rPr>
                <w:rFonts w:eastAsia="宋体" w:cs="Times New Roman"/>
                <w:sz w:val="21"/>
                <w:szCs w:val="21"/>
              </w:rPr>
              <w:t xml:space="preserve"> </w:t>
            </w:r>
            <w:r>
              <w:rPr>
                <w:rFonts w:eastAsia="宋体" w:cs="Times New Roman"/>
                <w:sz w:val="21"/>
                <w:szCs w:val="21"/>
              </w:rPr>
              <w:t>非</w:t>
            </w:r>
          </w:p>
        </w:tc>
        <w:tc>
          <w:tcPr>
            <w:tcW w:w="1164" w:type="pct"/>
            <w:shd w:val="clear" w:color="auto" w:fill="auto"/>
            <w:noWrap/>
            <w:vAlign w:val="center"/>
          </w:tcPr>
          <w:p w14:paraId="759CE821"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w:t>
            </w:r>
          </w:p>
        </w:tc>
        <w:tc>
          <w:tcPr>
            <w:tcW w:w="967" w:type="pct"/>
            <w:shd w:val="clear" w:color="auto" w:fill="auto"/>
            <w:noWrap/>
            <w:vAlign w:val="center"/>
          </w:tcPr>
          <w:p w14:paraId="1F823F37"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0.63</w:t>
            </w:r>
          </w:p>
        </w:tc>
        <w:tc>
          <w:tcPr>
            <w:tcW w:w="1800" w:type="pct"/>
            <w:shd w:val="clear" w:color="auto" w:fill="auto"/>
            <w:noWrap/>
            <w:vAlign w:val="center"/>
          </w:tcPr>
          <w:p w14:paraId="62BFD2F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2.4</w:t>
            </w:r>
          </w:p>
        </w:tc>
      </w:tr>
      <w:tr w:rsidR="00602083" w14:paraId="2FA424C9" w14:textId="77777777">
        <w:trPr>
          <w:cantSplit/>
          <w:trHeight w:val="90"/>
          <w:jc w:val="center"/>
        </w:trPr>
        <w:tc>
          <w:tcPr>
            <w:tcW w:w="1070" w:type="pct"/>
            <w:shd w:val="clear" w:color="auto" w:fill="auto"/>
            <w:noWrap/>
            <w:vAlign w:val="center"/>
          </w:tcPr>
          <w:p w14:paraId="2D1777ED"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土耳其</w:t>
            </w:r>
          </w:p>
        </w:tc>
        <w:tc>
          <w:tcPr>
            <w:tcW w:w="1164" w:type="pct"/>
            <w:shd w:val="clear" w:color="auto" w:fill="auto"/>
            <w:noWrap/>
            <w:vAlign w:val="center"/>
          </w:tcPr>
          <w:p w14:paraId="786085E7"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14.4</w:t>
            </w:r>
          </w:p>
        </w:tc>
        <w:tc>
          <w:tcPr>
            <w:tcW w:w="967" w:type="pct"/>
            <w:shd w:val="clear" w:color="auto" w:fill="auto"/>
            <w:noWrap/>
            <w:vAlign w:val="center"/>
          </w:tcPr>
          <w:p w14:paraId="29FDE1B6"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0.42</w:t>
            </w:r>
          </w:p>
        </w:tc>
        <w:tc>
          <w:tcPr>
            <w:tcW w:w="1800" w:type="pct"/>
            <w:shd w:val="clear" w:color="auto" w:fill="auto"/>
            <w:noWrap/>
            <w:vAlign w:val="center"/>
          </w:tcPr>
          <w:p w14:paraId="0BC8C116"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5.8</w:t>
            </w:r>
          </w:p>
        </w:tc>
      </w:tr>
      <w:tr w:rsidR="00602083" w14:paraId="331972DD" w14:textId="77777777">
        <w:trPr>
          <w:cantSplit/>
          <w:trHeight w:val="90"/>
          <w:jc w:val="center"/>
        </w:trPr>
        <w:tc>
          <w:tcPr>
            <w:tcW w:w="1070" w:type="pct"/>
            <w:shd w:val="clear" w:color="auto" w:fill="auto"/>
            <w:noWrap/>
            <w:vAlign w:val="center"/>
          </w:tcPr>
          <w:p w14:paraId="47240AE9"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菲律宾</w:t>
            </w:r>
          </w:p>
        </w:tc>
        <w:tc>
          <w:tcPr>
            <w:tcW w:w="1164" w:type="pct"/>
            <w:shd w:val="clear" w:color="auto" w:fill="auto"/>
            <w:noWrap/>
            <w:vAlign w:val="center"/>
          </w:tcPr>
          <w:p w14:paraId="4CC368F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w:t>
            </w:r>
          </w:p>
        </w:tc>
        <w:tc>
          <w:tcPr>
            <w:tcW w:w="967" w:type="pct"/>
            <w:shd w:val="clear" w:color="auto" w:fill="auto"/>
            <w:noWrap/>
            <w:vAlign w:val="center"/>
          </w:tcPr>
          <w:p w14:paraId="7F9E5073"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0.44</w:t>
            </w:r>
          </w:p>
        </w:tc>
        <w:tc>
          <w:tcPr>
            <w:tcW w:w="1800" w:type="pct"/>
            <w:shd w:val="clear" w:color="auto" w:fill="auto"/>
            <w:noWrap/>
            <w:vAlign w:val="center"/>
          </w:tcPr>
          <w:p w14:paraId="7781369F"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5.7</w:t>
            </w:r>
          </w:p>
        </w:tc>
      </w:tr>
      <w:tr w:rsidR="00602083" w14:paraId="5076A8B3" w14:textId="77777777">
        <w:trPr>
          <w:cantSplit/>
          <w:trHeight w:val="90"/>
          <w:jc w:val="center"/>
        </w:trPr>
        <w:tc>
          <w:tcPr>
            <w:tcW w:w="1070" w:type="pct"/>
            <w:shd w:val="clear" w:color="auto" w:fill="auto"/>
            <w:noWrap/>
            <w:vAlign w:val="center"/>
          </w:tcPr>
          <w:p w14:paraId="725860EC"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老挝</w:t>
            </w:r>
          </w:p>
        </w:tc>
        <w:tc>
          <w:tcPr>
            <w:tcW w:w="1164" w:type="pct"/>
            <w:shd w:val="clear" w:color="auto" w:fill="auto"/>
            <w:noWrap/>
            <w:vAlign w:val="center"/>
          </w:tcPr>
          <w:p w14:paraId="438B395E"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18.3</w:t>
            </w:r>
          </w:p>
        </w:tc>
        <w:tc>
          <w:tcPr>
            <w:tcW w:w="967" w:type="pct"/>
            <w:shd w:val="clear" w:color="auto" w:fill="auto"/>
            <w:noWrap/>
            <w:vAlign w:val="center"/>
          </w:tcPr>
          <w:p w14:paraId="4F2499E6"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0.36</w:t>
            </w:r>
          </w:p>
        </w:tc>
        <w:tc>
          <w:tcPr>
            <w:tcW w:w="1800" w:type="pct"/>
            <w:shd w:val="clear" w:color="auto" w:fill="auto"/>
            <w:noWrap/>
            <w:vAlign w:val="center"/>
          </w:tcPr>
          <w:p w14:paraId="4A30E2B9"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sz w:val="21"/>
                <w:szCs w:val="21"/>
              </w:rPr>
              <w:t>7.6</w:t>
            </w:r>
          </w:p>
        </w:tc>
      </w:tr>
    </w:tbl>
    <w:p w14:paraId="7332BE88" w14:textId="77777777" w:rsidR="00602083" w:rsidRDefault="00E51994">
      <w:pPr>
        <w:pStyle w:val="afffe"/>
      </w:pPr>
      <w:bookmarkStart w:id="22" w:name="_Hlk92704256"/>
      <w:r>
        <w:rPr>
          <w:rFonts w:hint="eastAsia"/>
        </w:rPr>
        <w:t>数据来源：根据世行数据库整理计算。</w:t>
      </w:r>
    </w:p>
    <w:p w14:paraId="7CC449A2" w14:textId="77777777" w:rsidR="00602083" w:rsidRDefault="00602083">
      <w:pPr>
        <w:adjustRightInd w:val="0"/>
        <w:spacing w:line="360" w:lineRule="auto"/>
        <w:ind w:firstLineChars="0" w:firstLine="0"/>
        <w:rPr>
          <w:rFonts w:eastAsia="宋体" w:cs="Times New Roman"/>
          <w:sz w:val="24"/>
          <w:szCs w:val="24"/>
        </w:rPr>
      </w:pPr>
    </w:p>
    <w:bookmarkEnd w:id="22"/>
    <w:p w14:paraId="1149D127" w14:textId="77777777" w:rsidR="00602083" w:rsidRDefault="00E51994">
      <w:pPr>
        <w:pStyle w:val="affd"/>
        <w:rPr>
          <w:color w:val="000000"/>
        </w:rPr>
      </w:pPr>
      <w:r>
        <w:rPr>
          <w:noProof/>
        </w:rPr>
        <w:lastRenderedPageBreak/>
        <w:drawing>
          <wp:inline distT="0" distB="0" distL="114300" distR="114300" wp14:anchorId="4C64BAE9" wp14:editId="4F63500A">
            <wp:extent cx="5274310" cy="2426335"/>
            <wp:effectExtent l="0" t="0" r="254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274310" cy="2426335"/>
                    </a:xfrm>
                    <a:prstGeom prst="rect">
                      <a:avLst/>
                    </a:prstGeom>
                    <a:noFill/>
                    <a:ln>
                      <a:noFill/>
                    </a:ln>
                  </pic:spPr>
                </pic:pic>
              </a:graphicData>
            </a:graphic>
          </wp:inline>
        </w:drawing>
      </w:r>
    </w:p>
    <w:p w14:paraId="57E97E0A" w14:textId="77777777" w:rsidR="00602083" w:rsidRDefault="00E51994">
      <w:pPr>
        <w:pStyle w:val="affc"/>
        <w:rPr>
          <w:lang w:val="zh-CN"/>
        </w:rPr>
      </w:pPr>
      <w:r>
        <w:rPr>
          <w:lang w:val="zh-CN"/>
        </w:rPr>
        <w:t>图</w:t>
      </w:r>
      <w:r>
        <w:rPr>
          <w:lang w:val="zh-CN"/>
        </w:rPr>
        <w:t>1  2005—2019</w:t>
      </w:r>
      <w:r>
        <w:rPr>
          <w:lang w:val="zh-CN"/>
        </w:rPr>
        <w:t>年全国居民收入基尼系数</w:t>
      </w:r>
    </w:p>
    <w:p w14:paraId="33951A4E" w14:textId="77777777" w:rsidR="00602083" w:rsidRDefault="00E51994">
      <w:pPr>
        <w:pStyle w:val="afffe"/>
      </w:pPr>
      <w:r>
        <w:rPr>
          <w:rFonts w:hint="eastAsia"/>
        </w:rPr>
        <w:t>数据来源：《中国居民收支与生活状况报告——</w:t>
      </w:r>
      <w:r>
        <w:rPr>
          <w:rFonts w:hint="eastAsia"/>
        </w:rPr>
        <w:t>2020</w:t>
      </w:r>
      <w:r>
        <w:rPr>
          <w:rFonts w:hint="eastAsia"/>
        </w:rPr>
        <w:t>》</w:t>
      </w:r>
    </w:p>
    <w:p w14:paraId="7A1EDF8D" w14:textId="77777777" w:rsidR="00602083" w:rsidRDefault="00602083">
      <w:pPr>
        <w:pStyle w:val="afffc"/>
      </w:pPr>
    </w:p>
    <w:p w14:paraId="0D730D6D" w14:textId="77777777" w:rsidR="00602083" w:rsidRDefault="00E51994">
      <w:pPr>
        <w:spacing w:line="360" w:lineRule="auto"/>
        <w:ind w:firstLine="480"/>
        <w:rPr>
          <w:rFonts w:eastAsia="宋体" w:cs="Times New Roman"/>
          <w:sz w:val="24"/>
          <w:szCs w:val="24"/>
        </w:rPr>
      </w:pPr>
      <w:r>
        <w:rPr>
          <w:rFonts w:eastAsia="宋体" w:cs="Times New Roman"/>
          <w:sz w:val="24"/>
          <w:szCs w:val="24"/>
        </w:rPr>
        <w:t>当前数字经济成为影响收入分配格局的新要素。数字经济对收入分配格局的影响并不是重新划分现有总体收益，而是在创造收入增量的同时改变收入分配格局。首先是数字经济的发展创造了巨大的经济增量，从而总体上增加了居民收入，这部分收入必然影响收入分配格局；其次是数字经济对不同行业、地区和领域的影响不同，进而影响收入在这些行业、地区和领域的分配格局；最后是数字经济时代的到来，要素收入的格局发生重要变化，数据要素成为获取收入的重要来源，也会影响收入分配格局。党的十九届四中全会明确，坚持按劳分配为主体、多种分配方式并存，健全劳动、资本、土地、知识、技术、管理、数据等生产要素由市场评价贡献、按贡献决定报酬的机制。数据作为生产要素将在数字经济时代发挥巨大的价值，数据要素将越来越深入地参与收入分配。与此同时，数字经济发展催生了大量平台型企业，对国家财税规模与结构带来了新的挑战，进而影响第二次分配格局。</w:t>
      </w:r>
    </w:p>
    <w:p w14:paraId="11D6C2FA" w14:textId="77777777" w:rsidR="00602083" w:rsidRDefault="00E51994">
      <w:pPr>
        <w:pStyle w:val="2"/>
        <w:ind w:firstLine="480"/>
        <w:rPr>
          <w:b/>
        </w:rPr>
      </w:pPr>
      <w:bookmarkStart w:id="23" w:name="_Toc92734343"/>
      <w:bookmarkStart w:id="24" w:name="_Toc11503"/>
      <w:bookmarkStart w:id="25" w:name="_Toc93841281"/>
      <w:bookmarkStart w:id="26" w:name="_Toc93925268"/>
      <w:r>
        <w:rPr>
          <w:rFonts w:hint="eastAsia"/>
        </w:rPr>
        <w:t>二、</w:t>
      </w:r>
      <w:r>
        <w:t>数字经济影响就业与收入分配的机制机理</w:t>
      </w:r>
      <w:bookmarkEnd w:id="23"/>
      <w:bookmarkEnd w:id="24"/>
      <w:bookmarkEnd w:id="25"/>
      <w:bookmarkEnd w:id="26"/>
    </w:p>
    <w:p w14:paraId="7702A305" w14:textId="77777777" w:rsidR="00602083" w:rsidRDefault="00E51994">
      <w:pPr>
        <w:pStyle w:val="3"/>
        <w:spacing w:before="192" w:after="240"/>
        <w:ind w:firstLine="480"/>
      </w:pPr>
      <w:bookmarkStart w:id="27" w:name="_Toc92734344"/>
      <w:bookmarkStart w:id="28" w:name="_Toc10471"/>
      <w:bookmarkStart w:id="29" w:name="_Toc93925269"/>
      <w:r>
        <w:rPr>
          <w:rFonts w:hint="eastAsia"/>
        </w:rPr>
        <w:t>（一）数字经济影响就业的机制机理</w:t>
      </w:r>
      <w:bookmarkEnd w:id="27"/>
      <w:bookmarkEnd w:id="28"/>
      <w:bookmarkEnd w:id="29"/>
    </w:p>
    <w:p w14:paraId="3B34EB7B" w14:textId="77777777" w:rsidR="00602083" w:rsidRDefault="00E51994">
      <w:pPr>
        <w:pStyle w:val="4"/>
      </w:pPr>
      <w:bookmarkStart w:id="30" w:name="_Toc92734345"/>
      <w:r>
        <w:rPr>
          <w:rFonts w:hint="eastAsia"/>
        </w:rPr>
        <w:t>1</w:t>
      </w:r>
      <w:r>
        <w:t>.</w:t>
      </w:r>
      <w:r>
        <w:rPr>
          <w:rFonts w:hint="eastAsia"/>
        </w:rPr>
        <w:t>数字经济对就业规模的总体影响</w:t>
      </w:r>
      <w:bookmarkEnd w:id="30"/>
    </w:p>
    <w:p w14:paraId="783AA07A"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数字经济对就业同时具备替代效应与创造效应。从历次世界性技术产业革命的发展情况可以看出，新技术产业的到来往往会引起人们对失业的担忧，自</w:t>
      </w:r>
      <w:r>
        <w:rPr>
          <w:rFonts w:eastAsia="宋体" w:cs="Times New Roman" w:hint="eastAsia"/>
          <w:sz w:val="24"/>
          <w:szCs w:val="24"/>
        </w:rPr>
        <w:t>18</w:t>
      </w:r>
      <w:r>
        <w:rPr>
          <w:rFonts w:eastAsia="宋体" w:cs="Times New Roman" w:hint="eastAsia"/>
          <w:sz w:val="24"/>
          <w:szCs w:val="24"/>
        </w:rPr>
        <w:t>世纪后期工业革命以来就受到学术界的广泛关注和激烈讨论。</w:t>
      </w:r>
    </w:p>
    <w:p w14:paraId="7C2B5D81"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lastRenderedPageBreak/>
        <w:t>一方面，</w:t>
      </w:r>
      <w:bookmarkStart w:id="31" w:name="_Hlk92729920"/>
      <w:r>
        <w:rPr>
          <w:rFonts w:eastAsia="宋体" w:cs="Times New Roman" w:hint="eastAsia"/>
          <w:sz w:val="24"/>
          <w:szCs w:val="24"/>
        </w:rPr>
        <w:t>数字经济对就业存在替代效用。数字技术的运用及数字经济的发展将会通过以下三种作用方式导致部分群体失业：</w:t>
      </w:r>
      <w:bookmarkEnd w:id="31"/>
    </w:p>
    <w:p w14:paraId="26AF215D" w14:textId="77777777" w:rsidR="00602083" w:rsidRDefault="00E51994">
      <w:pPr>
        <w:pStyle w:val="affd"/>
      </w:pPr>
      <w:r>
        <w:rPr>
          <w:noProof/>
        </w:rPr>
        <w:drawing>
          <wp:inline distT="0" distB="0" distL="114300" distR="114300" wp14:anchorId="30026FD8" wp14:editId="68896DA2">
            <wp:extent cx="5264150" cy="1778000"/>
            <wp:effectExtent l="0" t="0" r="12700" b="1270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pic:cNvPicPr>
                      <a:picLocks noChangeAspect="1"/>
                    </pic:cNvPicPr>
                  </pic:nvPicPr>
                  <pic:blipFill>
                    <a:blip r:embed="rId16"/>
                    <a:srcRect t="10543"/>
                    <a:stretch>
                      <a:fillRect/>
                    </a:stretch>
                  </pic:blipFill>
                  <pic:spPr>
                    <a:xfrm>
                      <a:off x="0" y="0"/>
                      <a:ext cx="5264150" cy="1778000"/>
                    </a:xfrm>
                    <a:prstGeom prst="rect">
                      <a:avLst/>
                    </a:prstGeom>
                    <a:noFill/>
                    <a:ln>
                      <a:noFill/>
                    </a:ln>
                  </pic:spPr>
                </pic:pic>
              </a:graphicData>
            </a:graphic>
          </wp:inline>
        </w:drawing>
      </w:r>
    </w:p>
    <w:p w14:paraId="279FBE3C" w14:textId="77777777" w:rsidR="00602083" w:rsidRDefault="00E51994">
      <w:pPr>
        <w:pStyle w:val="affc"/>
        <w:rPr>
          <w:lang w:val="zh-CN"/>
        </w:rPr>
      </w:pPr>
      <w:r>
        <w:rPr>
          <w:lang w:val="zh-CN"/>
        </w:rPr>
        <w:t>图</w:t>
      </w:r>
      <w:r>
        <w:rPr>
          <w:rFonts w:hint="eastAsia"/>
          <w:lang w:val="zh-CN"/>
        </w:rPr>
        <w:t>2</w:t>
      </w:r>
      <w:r>
        <w:rPr>
          <w:lang w:val="zh-CN"/>
        </w:rPr>
        <w:t xml:space="preserve">  </w:t>
      </w:r>
      <w:r>
        <w:rPr>
          <w:rFonts w:hint="eastAsia"/>
        </w:rPr>
        <w:t>数字经济发展的就业替代效应</w:t>
      </w:r>
    </w:p>
    <w:p w14:paraId="3651C848"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一是生产率提高的替代效应。</w:t>
      </w:r>
      <w:r>
        <w:rPr>
          <w:rFonts w:eastAsia="宋体" w:cs="Times New Roman" w:hint="eastAsia"/>
          <w:sz w:val="24"/>
          <w:szCs w:val="24"/>
        </w:rPr>
        <w:t>Aghion</w:t>
      </w:r>
      <w:r>
        <w:rPr>
          <w:rFonts w:eastAsia="宋体" w:cs="Times New Roman" w:hint="eastAsia"/>
          <w:sz w:val="24"/>
          <w:szCs w:val="24"/>
        </w:rPr>
        <w:t>和</w:t>
      </w:r>
      <w:r>
        <w:rPr>
          <w:rFonts w:eastAsia="宋体" w:cs="Times New Roman" w:hint="eastAsia"/>
          <w:sz w:val="24"/>
          <w:szCs w:val="24"/>
        </w:rPr>
        <w:t>Hoowitt</w:t>
      </w:r>
      <w:r>
        <w:rPr>
          <w:rFonts w:eastAsia="宋体" w:cs="Times New Roman" w:hint="eastAsia"/>
          <w:sz w:val="24"/>
          <w:szCs w:val="24"/>
        </w:rPr>
        <w:t>指出技术进步对就业从两方面产生“创造性破坏”作用，一方面，技术进步降低了当前工作岗位价值、缩短工作岗位的生命周期，从而提高失业人数。龚玉泉等提出，技术进步能够提高劳动生产率，导致单位产品所需的劳动力投入降低，在产出给定的情况下，会减少对劳动力的需求</w:t>
      </w:r>
      <w:r>
        <w:rPr>
          <w:rFonts w:eastAsia="宋体" w:cs="Times New Roman"/>
          <w:sz w:val="24"/>
          <w:szCs w:val="24"/>
          <w:vertAlign w:val="superscript"/>
        </w:rPr>
        <w:t>[</w:t>
      </w:r>
      <w:r>
        <w:rPr>
          <w:rFonts w:eastAsia="宋体" w:cs="Times New Roman"/>
          <w:sz w:val="24"/>
          <w:szCs w:val="24"/>
          <w:vertAlign w:val="superscript"/>
        </w:rPr>
        <w:footnoteReference w:id="2"/>
      </w:r>
      <w:r>
        <w:rPr>
          <w:rFonts w:eastAsia="宋体" w:cs="Times New Roman"/>
          <w:sz w:val="24"/>
          <w:szCs w:val="24"/>
          <w:vertAlign w:val="superscript"/>
        </w:rPr>
        <w:t>]</w:t>
      </w:r>
      <w:r>
        <w:rPr>
          <w:rFonts w:eastAsia="宋体" w:cs="Times New Roman" w:hint="eastAsia"/>
          <w:sz w:val="24"/>
          <w:szCs w:val="24"/>
        </w:rPr>
        <w:t>。另一方面，技术进步促进人力资本价格的提升，导致企业利润降低，进而影响企业进入市场以及创造工作岗位的积极性</w:t>
      </w:r>
      <w:r>
        <w:rPr>
          <w:rFonts w:eastAsia="宋体" w:cs="Times New Roman"/>
          <w:sz w:val="24"/>
          <w:szCs w:val="24"/>
          <w:vertAlign w:val="superscript"/>
        </w:rPr>
        <w:t>[</w:t>
      </w:r>
      <w:r>
        <w:rPr>
          <w:rFonts w:eastAsia="宋体" w:cs="Times New Roman"/>
          <w:sz w:val="24"/>
          <w:szCs w:val="24"/>
          <w:vertAlign w:val="superscript"/>
        </w:rPr>
        <w:footnoteReference w:id="3"/>
      </w:r>
      <w:r>
        <w:rPr>
          <w:rFonts w:eastAsia="宋体" w:cs="Times New Roman"/>
          <w:sz w:val="24"/>
          <w:szCs w:val="24"/>
          <w:vertAlign w:val="superscript"/>
        </w:rPr>
        <w:t>]</w:t>
      </w:r>
      <w:r>
        <w:rPr>
          <w:rFonts w:eastAsia="宋体" w:cs="Times New Roman" w:hint="eastAsia"/>
          <w:sz w:val="24"/>
          <w:szCs w:val="24"/>
        </w:rPr>
        <w:t>。</w:t>
      </w:r>
    </w:p>
    <w:p w14:paraId="7A7D4CBE"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二是智能技术发展所引起的“机器换人”。</w:t>
      </w:r>
      <w:r>
        <w:rPr>
          <w:rFonts w:eastAsia="宋体" w:cs="Times New Roman" w:hint="eastAsia"/>
          <w:sz w:val="24"/>
          <w:szCs w:val="24"/>
        </w:rPr>
        <w:t>智能化、自动化技术的发展不仅会大幅降低机器设备的价格，使得原本相同的资本投资可以购买更多能够替代人力的设备，而且机器设备效能的提升也会使管理、运营、维护人员不断减少，双重效应导致人工岗位减少。</w:t>
      </w:r>
      <w:r>
        <w:rPr>
          <w:rFonts w:eastAsia="宋体" w:cs="Times New Roman" w:hint="eastAsia"/>
          <w:sz w:val="24"/>
          <w:szCs w:val="24"/>
        </w:rPr>
        <w:t>Daron</w:t>
      </w:r>
      <w:r>
        <w:rPr>
          <w:rFonts w:eastAsia="宋体" w:cs="Times New Roman" w:hint="eastAsia"/>
          <w:sz w:val="24"/>
          <w:szCs w:val="24"/>
        </w:rPr>
        <w:t>等研究发现，</w:t>
      </w:r>
      <w:r>
        <w:rPr>
          <w:rFonts w:eastAsia="宋体" w:cs="Times New Roman" w:hint="eastAsia"/>
          <w:sz w:val="24"/>
          <w:szCs w:val="24"/>
        </w:rPr>
        <w:t>1990</w:t>
      </w:r>
      <w:r>
        <w:rPr>
          <w:rFonts w:eastAsia="宋体" w:cs="Times New Roman" w:hint="eastAsia"/>
          <w:sz w:val="24"/>
          <w:szCs w:val="24"/>
        </w:rPr>
        <w:t>年到</w:t>
      </w:r>
      <w:r>
        <w:rPr>
          <w:rFonts w:eastAsia="宋体" w:cs="Times New Roman" w:hint="eastAsia"/>
          <w:sz w:val="24"/>
          <w:szCs w:val="24"/>
        </w:rPr>
        <w:t>2007</w:t>
      </w:r>
      <w:r>
        <w:rPr>
          <w:rFonts w:eastAsia="宋体" w:cs="Times New Roman" w:hint="eastAsia"/>
          <w:sz w:val="24"/>
          <w:szCs w:val="24"/>
        </w:rPr>
        <w:t>年，每千名美国工人中增加</w:t>
      </w:r>
      <w:r>
        <w:rPr>
          <w:rFonts w:eastAsia="宋体" w:cs="Times New Roman" w:hint="eastAsia"/>
          <w:sz w:val="24"/>
          <w:szCs w:val="24"/>
        </w:rPr>
        <w:t>1</w:t>
      </w:r>
      <w:r>
        <w:rPr>
          <w:rFonts w:eastAsia="宋体" w:cs="Times New Roman" w:hint="eastAsia"/>
          <w:sz w:val="24"/>
          <w:szCs w:val="24"/>
        </w:rPr>
        <w:t>个机器人，全美就业人口比下降</w:t>
      </w:r>
      <w:r>
        <w:rPr>
          <w:rFonts w:eastAsia="宋体" w:cs="Times New Roman" w:hint="eastAsia"/>
          <w:sz w:val="24"/>
          <w:szCs w:val="24"/>
        </w:rPr>
        <w:t>0.2%</w:t>
      </w:r>
      <w:r>
        <w:rPr>
          <w:rFonts w:eastAsia="宋体" w:cs="Times New Roman" w:hint="eastAsia"/>
          <w:sz w:val="24"/>
          <w:szCs w:val="24"/>
        </w:rPr>
        <w:t>，工人的工资降低</w:t>
      </w:r>
      <w:r>
        <w:rPr>
          <w:rFonts w:eastAsia="宋体" w:cs="Times New Roman" w:hint="eastAsia"/>
          <w:sz w:val="24"/>
          <w:szCs w:val="24"/>
        </w:rPr>
        <w:t>0.42%</w:t>
      </w:r>
      <w:r>
        <w:rPr>
          <w:rFonts w:eastAsia="宋体" w:cs="Times New Roman" w:hint="eastAsia"/>
          <w:sz w:val="24"/>
          <w:szCs w:val="24"/>
        </w:rPr>
        <w:t>。这意味着美国制造业中每增加</w:t>
      </w:r>
      <w:r>
        <w:rPr>
          <w:rFonts w:eastAsia="宋体" w:cs="Times New Roman" w:hint="eastAsia"/>
          <w:sz w:val="24"/>
          <w:szCs w:val="24"/>
        </w:rPr>
        <w:t>1</w:t>
      </w:r>
      <w:r>
        <w:rPr>
          <w:rFonts w:eastAsia="宋体" w:cs="Times New Roman" w:hint="eastAsia"/>
          <w:sz w:val="24"/>
          <w:szCs w:val="24"/>
        </w:rPr>
        <w:t>个机器人，平均会取代</w:t>
      </w:r>
      <w:r>
        <w:rPr>
          <w:rFonts w:eastAsia="宋体" w:cs="Times New Roman" w:hint="eastAsia"/>
          <w:sz w:val="24"/>
          <w:szCs w:val="24"/>
        </w:rPr>
        <w:t>3.3</w:t>
      </w:r>
      <w:r>
        <w:rPr>
          <w:rFonts w:eastAsia="宋体" w:cs="Times New Roman" w:hint="eastAsia"/>
          <w:sz w:val="24"/>
          <w:szCs w:val="24"/>
        </w:rPr>
        <w:t>名工人</w:t>
      </w:r>
      <w:r>
        <w:rPr>
          <w:rFonts w:eastAsia="宋体" w:cs="Times New Roman"/>
          <w:sz w:val="24"/>
          <w:szCs w:val="24"/>
          <w:vertAlign w:val="superscript"/>
        </w:rPr>
        <w:t>[</w:t>
      </w:r>
      <w:r>
        <w:rPr>
          <w:rFonts w:eastAsia="宋体" w:cs="Times New Roman"/>
          <w:sz w:val="24"/>
          <w:szCs w:val="24"/>
          <w:vertAlign w:val="superscript"/>
        </w:rPr>
        <w:footnoteReference w:id="4"/>
      </w:r>
      <w:r>
        <w:rPr>
          <w:rFonts w:eastAsia="宋体" w:cs="Times New Roman"/>
          <w:sz w:val="24"/>
          <w:szCs w:val="24"/>
          <w:vertAlign w:val="superscript"/>
        </w:rPr>
        <w:t>]</w:t>
      </w:r>
      <w:r>
        <w:rPr>
          <w:rFonts w:eastAsia="宋体" w:cs="Times New Roman" w:hint="eastAsia"/>
          <w:sz w:val="24"/>
          <w:szCs w:val="24"/>
        </w:rPr>
        <w:t>。</w:t>
      </w:r>
      <w:r>
        <w:rPr>
          <w:rFonts w:eastAsia="宋体" w:cs="Times New Roman" w:hint="eastAsia"/>
          <w:sz w:val="24"/>
          <w:szCs w:val="24"/>
        </w:rPr>
        <w:t>Frey</w:t>
      </w:r>
      <w:r>
        <w:rPr>
          <w:rFonts w:eastAsia="宋体" w:cs="Times New Roman" w:hint="eastAsia"/>
          <w:sz w:val="24"/>
          <w:szCs w:val="24"/>
        </w:rPr>
        <w:t>和</w:t>
      </w:r>
      <w:r>
        <w:rPr>
          <w:rFonts w:eastAsia="宋体" w:cs="Times New Roman" w:hint="eastAsia"/>
          <w:sz w:val="24"/>
          <w:szCs w:val="24"/>
        </w:rPr>
        <w:t>Osborne</w:t>
      </w:r>
      <w:r>
        <w:rPr>
          <w:rFonts w:eastAsia="宋体" w:cs="Times New Roman" w:hint="eastAsia"/>
          <w:sz w:val="24"/>
          <w:szCs w:val="24"/>
        </w:rPr>
        <w:t>（</w:t>
      </w:r>
      <w:r>
        <w:rPr>
          <w:rFonts w:eastAsia="宋体" w:cs="Times New Roman" w:hint="eastAsia"/>
          <w:sz w:val="24"/>
          <w:szCs w:val="24"/>
        </w:rPr>
        <w:t>2017</w:t>
      </w:r>
      <w:r>
        <w:rPr>
          <w:rFonts w:eastAsia="宋体" w:cs="Times New Roman" w:hint="eastAsia"/>
          <w:sz w:val="24"/>
          <w:szCs w:val="24"/>
        </w:rPr>
        <w:t>）对美国</w:t>
      </w:r>
      <w:r>
        <w:rPr>
          <w:rFonts w:eastAsia="宋体" w:cs="Times New Roman" w:hint="eastAsia"/>
          <w:sz w:val="24"/>
          <w:szCs w:val="24"/>
        </w:rPr>
        <w:t>702</w:t>
      </w:r>
      <w:r>
        <w:rPr>
          <w:rFonts w:eastAsia="宋体" w:cs="Times New Roman" w:hint="eastAsia"/>
          <w:sz w:val="24"/>
          <w:szCs w:val="24"/>
        </w:rPr>
        <w:t>种职业未来被智能化技术替代可能性进行研究，分析结果表明，未来约</w:t>
      </w:r>
      <w:r>
        <w:rPr>
          <w:rFonts w:eastAsia="宋体" w:cs="Times New Roman" w:hint="eastAsia"/>
          <w:sz w:val="24"/>
          <w:szCs w:val="24"/>
        </w:rPr>
        <w:t>47%</w:t>
      </w:r>
      <w:r>
        <w:rPr>
          <w:rFonts w:eastAsia="宋体" w:cs="Times New Roman" w:hint="eastAsia"/>
          <w:sz w:val="24"/>
          <w:szCs w:val="24"/>
        </w:rPr>
        <w:t>的相关职业可能被自动化机器取代</w:t>
      </w:r>
      <w:r>
        <w:rPr>
          <w:rFonts w:eastAsia="宋体" w:cs="Times New Roman"/>
          <w:sz w:val="24"/>
          <w:szCs w:val="24"/>
          <w:vertAlign w:val="superscript"/>
        </w:rPr>
        <w:t>[</w:t>
      </w:r>
      <w:r>
        <w:rPr>
          <w:rFonts w:eastAsia="宋体" w:cs="Times New Roman"/>
          <w:sz w:val="24"/>
          <w:szCs w:val="24"/>
          <w:vertAlign w:val="superscript"/>
        </w:rPr>
        <w:footnoteReference w:id="5"/>
      </w:r>
      <w:r>
        <w:rPr>
          <w:rFonts w:eastAsia="宋体" w:cs="Times New Roman"/>
          <w:sz w:val="24"/>
          <w:szCs w:val="24"/>
          <w:vertAlign w:val="superscript"/>
        </w:rPr>
        <w:t>]</w:t>
      </w:r>
      <w:r>
        <w:rPr>
          <w:rFonts w:eastAsia="宋体" w:cs="Times New Roman" w:hint="eastAsia"/>
          <w:sz w:val="24"/>
          <w:szCs w:val="24"/>
        </w:rPr>
        <w:t>。</w:t>
      </w:r>
      <w:r>
        <w:rPr>
          <w:rFonts w:eastAsia="宋体" w:cs="Times New Roman" w:hint="eastAsia"/>
          <w:sz w:val="24"/>
          <w:szCs w:val="24"/>
        </w:rPr>
        <w:t>Gaggle</w:t>
      </w:r>
      <w:r>
        <w:rPr>
          <w:rFonts w:eastAsia="宋体" w:cs="Times New Roman" w:hint="eastAsia"/>
          <w:sz w:val="24"/>
          <w:szCs w:val="24"/>
        </w:rPr>
        <w:t>等认为，短期内新技术的运用对从事程式化劳</w:t>
      </w:r>
      <w:r>
        <w:rPr>
          <w:rFonts w:eastAsia="宋体" w:cs="Times New Roman" w:hint="eastAsia"/>
          <w:sz w:val="24"/>
          <w:szCs w:val="24"/>
        </w:rPr>
        <w:lastRenderedPageBreak/>
        <w:t>动就业者的替代并不明显，这种“创造性毁灭”将经过一个较长时期逐渐发生</w:t>
      </w:r>
      <w:r>
        <w:rPr>
          <w:rFonts w:eastAsia="宋体" w:cs="Times New Roman"/>
          <w:sz w:val="24"/>
          <w:szCs w:val="24"/>
          <w:vertAlign w:val="superscript"/>
        </w:rPr>
        <w:t>[</w:t>
      </w:r>
      <w:r>
        <w:rPr>
          <w:rFonts w:eastAsia="宋体" w:cs="Times New Roman"/>
          <w:sz w:val="24"/>
          <w:szCs w:val="24"/>
          <w:vertAlign w:val="superscript"/>
        </w:rPr>
        <w:footnoteReference w:id="6"/>
      </w:r>
      <w:r>
        <w:rPr>
          <w:rFonts w:eastAsia="宋体" w:cs="Times New Roman"/>
          <w:sz w:val="24"/>
          <w:szCs w:val="24"/>
          <w:vertAlign w:val="superscript"/>
        </w:rPr>
        <w:t>]</w:t>
      </w:r>
      <w:r>
        <w:rPr>
          <w:rFonts w:eastAsia="宋体" w:cs="Times New Roman" w:hint="eastAsia"/>
          <w:sz w:val="24"/>
          <w:szCs w:val="24"/>
        </w:rPr>
        <w:t>。</w:t>
      </w:r>
    </w:p>
    <w:p w14:paraId="33F60604" w14:textId="77777777" w:rsidR="00602083" w:rsidRDefault="00E51994">
      <w:pPr>
        <w:numPr>
          <w:ilvl w:val="255"/>
          <w:numId w:val="0"/>
        </w:numPr>
        <w:spacing w:line="360" w:lineRule="auto"/>
        <w:ind w:firstLineChars="200" w:firstLine="482"/>
        <w:rPr>
          <w:rFonts w:eastAsia="宋体"/>
          <w:sz w:val="24"/>
          <w:szCs w:val="24"/>
        </w:rPr>
      </w:pPr>
      <w:r>
        <w:rPr>
          <w:rFonts w:eastAsia="宋体" w:hint="eastAsia"/>
          <w:b/>
          <w:bCs/>
          <w:sz w:val="24"/>
          <w:szCs w:val="24"/>
        </w:rPr>
        <w:t>三是产业结构变革引发技术性失业。</w:t>
      </w:r>
      <w:r>
        <w:rPr>
          <w:rFonts w:eastAsia="宋体" w:hint="eastAsia"/>
          <w:sz w:val="24"/>
          <w:szCs w:val="24"/>
        </w:rPr>
        <w:t>弗里曼和佩雷斯的技术范式理论认为，在新技术扩散导致社会发生结构性变革的时期，会出现失业率上升的现象，当社会经济制度逐渐适应新技术经济模式以后，经济会再次繁荣，伴随着劳动力结构的调整，失业率也会下降。在新业态冲击、取代传统业态的过程中，不可避免地会使部分职业大量减少甚至消失。在历次工业革命演进过程中，包括人力车夫、卖报员、电梯员、电话接线员、底片冲洗工等岗位已经消失。</w:t>
      </w:r>
      <w:r>
        <w:rPr>
          <w:rFonts w:eastAsia="宋体" w:hint="eastAsia"/>
          <w:sz w:val="24"/>
          <w:szCs w:val="24"/>
        </w:rPr>
        <w:t>2015</w:t>
      </w:r>
      <w:r>
        <w:rPr>
          <w:rFonts w:eastAsia="宋体" w:hint="eastAsia"/>
          <w:sz w:val="24"/>
          <w:szCs w:val="24"/>
        </w:rPr>
        <w:t>版《中华人民共和国职业分类大典》与</w:t>
      </w:r>
      <w:r>
        <w:rPr>
          <w:rFonts w:eastAsia="宋体" w:hint="eastAsia"/>
          <w:sz w:val="24"/>
          <w:szCs w:val="24"/>
        </w:rPr>
        <w:t>1999</w:t>
      </w:r>
      <w:r>
        <w:rPr>
          <w:rFonts w:eastAsia="宋体" w:hint="eastAsia"/>
          <w:sz w:val="24"/>
          <w:szCs w:val="24"/>
        </w:rPr>
        <w:t>版大典相比，包括“话务员”“制版工”等在内的</w:t>
      </w:r>
      <w:r>
        <w:rPr>
          <w:rFonts w:eastAsia="宋体" w:hint="eastAsia"/>
          <w:sz w:val="24"/>
          <w:szCs w:val="24"/>
        </w:rPr>
        <w:t>894</w:t>
      </w:r>
      <w:r>
        <w:rPr>
          <w:rFonts w:eastAsia="宋体" w:hint="eastAsia"/>
          <w:sz w:val="24"/>
          <w:szCs w:val="24"/>
        </w:rPr>
        <w:t>个职业被取消。</w:t>
      </w:r>
    </w:p>
    <w:p w14:paraId="00519E00"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另一方面，数字经济存在就业创造效应。数字经济能够创造规模巨大的新就业岗位。主要作用机制如下：</w:t>
      </w:r>
    </w:p>
    <w:p w14:paraId="5627119B" w14:textId="77777777" w:rsidR="00602083" w:rsidRDefault="00E51994">
      <w:pPr>
        <w:pStyle w:val="affd"/>
      </w:pPr>
      <w:r>
        <w:rPr>
          <w:noProof/>
        </w:rPr>
        <w:drawing>
          <wp:inline distT="0" distB="0" distL="114300" distR="114300" wp14:anchorId="7B3FDA95" wp14:editId="5BB17432">
            <wp:extent cx="5268595" cy="2044065"/>
            <wp:effectExtent l="0" t="0" r="8255" b="1333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7"/>
                    <a:stretch>
                      <a:fillRect/>
                    </a:stretch>
                  </pic:blipFill>
                  <pic:spPr>
                    <a:xfrm>
                      <a:off x="0" y="0"/>
                      <a:ext cx="5268595" cy="2044065"/>
                    </a:xfrm>
                    <a:prstGeom prst="rect">
                      <a:avLst/>
                    </a:prstGeom>
                    <a:noFill/>
                    <a:ln>
                      <a:noFill/>
                    </a:ln>
                  </pic:spPr>
                </pic:pic>
              </a:graphicData>
            </a:graphic>
          </wp:inline>
        </w:drawing>
      </w:r>
    </w:p>
    <w:p w14:paraId="33DB5C93" w14:textId="77777777" w:rsidR="00602083" w:rsidRDefault="00E51994">
      <w:pPr>
        <w:pStyle w:val="affc"/>
        <w:rPr>
          <w:lang w:val="zh-CN"/>
        </w:rPr>
      </w:pPr>
      <w:r>
        <w:rPr>
          <w:lang w:val="zh-CN"/>
        </w:rPr>
        <w:t>图</w:t>
      </w:r>
      <w:r>
        <w:rPr>
          <w:rFonts w:hint="eastAsia"/>
          <w:lang w:val="zh-CN"/>
        </w:rPr>
        <w:t>3</w:t>
      </w:r>
      <w:r>
        <w:rPr>
          <w:lang w:val="zh-CN"/>
        </w:rPr>
        <w:t xml:space="preserve"> </w:t>
      </w:r>
      <w:r>
        <w:t xml:space="preserve"> </w:t>
      </w:r>
      <w:r>
        <w:rPr>
          <w:rFonts w:hint="eastAsia"/>
        </w:rPr>
        <w:t>数字经济发展的就业创造效应</w:t>
      </w:r>
    </w:p>
    <w:p w14:paraId="017B3F89"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一是生产率提升增加劳动力需求。</w:t>
      </w:r>
      <w:r>
        <w:rPr>
          <w:rFonts w:eastAsia="宋体" w:cs="Times New Roman" w:hint="eastAsia"/>
          <w:sz w:val="24"/>
          <w:szCs w:val="24"/>
        </w:rPr>
        <w:t>2018</w:t>
      </w:r>
      <w:r>
        <w:rPr>
          <w:rFonts w:eastAsia="宋体" w:cs="Times New Roman" w:hint="eastAsia"/>
          <w:sz w:val="24"/>
          <w:szCs w:val="24"/>
        </w:rPr>
        <w:t>年</w:t>
      </w:r>
      <w:r>
        <w:rPr>
          <w:rFonts w:eastAsia="宋体" w:cs="Times New Roman" w:hint="eastAsia"/>
          <w:sz w:val="24"/>
          <w:szCs w:val="24"/>
        </w:rPr>
        <w:t>2</w:t>
      </w:r>
      <w:r>
        <w:rPr>
          <w:rFonts w:eastAsia="宋体" w:cs="Times New Roman" w:hint="eastAsia"/>
          <w:sz w:val="24"/>
          <w:szCs w:val="24"/>
        </w:rPr>
        <w:t>月，伦敦经济学院经济发展中心对</w:t>
      </w:r>
      <w:r>
        <w:rPr>
          <w:rFonts w:eastAsia="宋体" w:cs="Times New Roman" w:hint="eastAsia"/>
          <w:sz w:val="24"/>
          <w:szCs w:val="24"/>
        </w:rPr>
        <w:t>1993</w:t>
      </w:r>
      <w:r>
        <w:rPr>
          <w:rFonts w:eastAsia="宋体" w:cs="Times New Roman" w:hint="eastAsia"/>
          <w:sz w:val="24"/>
          <w:szCs w:val="24"/>
        </w:rPr>
        <w:t>～</w:t>
      </w:r>
      <w:r>
        <w:rPr>
          <w:rFonts w:eastAsia="宋体" w:cs="Times New Roman" w:hint="eastAsia"/>
          <w:sz w:val="24"/>
          <w:szCs w:val="24"/>
        </w:rPr>
        <w:t>2007</w:t>
      </w:r>
      <w:r>
        <w:rPr>
          <w:rFonts w:eastAsia="宋体" w:cs="Times New Roman" w:hint="eastAsia"/>
          <w:sz w:val="24"/>
          <w:szCs w:val="24"/>
        </w:rPr>
        <w:t>年</w:t>
      </w:r>
      <w:r>
        <w:rPr>
          <w:rFonts w:eastAsia="宋体" w:cs="Times New Roman" w:hint="eastAsia"/>
          <w:sz w:val="24"/>
          <w:szCs w:val="24"/>
        </w:rPr>
        <w:t>17</w:t>
      </w:r>
      <w:r>
        <w:rPr>
          <w:rFonts w:eastAsia="宋体" w:cs="Times New Roman" w:hint="eastAsia"/>
          <w:sz w:val="24"/>
          <w:szCs w:val="24"/>
        </w:rPr>
        <w:t>个国家的数据研究发现，增加机器人使用会使年度劳动生产率增长提高</w:t>
      </w:r>
      <w:r>
        <w:rPr>
          <w:rFonts w:eastAsia="宋体" w:cs="Times New Roman" w:hint="eastAsia"/>
          <w:sz w:val="24"/>
          <w:szCs w:val="24"/>
        </w:rPr>
        <w:t>0.36</w:t>
      </w:r>
      <w:r>
        <w:rPr>
          <w:rFonts w:eastAsia="宋体" w:cs="Times New Roman" w:hint="eastAsia"/>
          <w:sz w:val="24"/>
          <w:szCs w:val="24"/>
        </w:rPr>
        <w:t>个百分点。相比之下，</w:t>
      </w:r>
      <w:r>
        <w:rPr>
          <w:rFonts w:eastAsia="宋体" w:cs="Times New Roman" w:hint="eastAsia"/>
          <w:sz w:val="24"/>
          <w:szCs w:val="24"/>
        </w:rPr>
        <w:t>1850</w:t>
      </w:r>
      <w:r>
        <w:rPr>
          <w:rFonts w:eastAsia="宋体" w:cs="Times New Roman" w:hint="eastAsia"/>
          <w:sz w:val="24"/>
          <w:szCs w:val="24"/>
        </w:rPr>
        <w:t>～</w:t>
      </w:r>
      <w:r>
        <w:rPr>
          <w:rFonts w:eastAsia="宋体" w:cs="Times New Roman" w:hint="eastAsia"/>
          <w:sz w:val="24"/>
          <w:szCs w:val="24"/>
        </w:rPr>
        <w:t>1910</w:t>
      </w:r>
      <w:r>
        <w:rPr>
          <w:rFonts w:eastAsia="宋体" w:cs="Times New Roman" w:hint="eastAsia"/>
          <w:sz w:val="24"/>
          <w:szCs w:val="24"/>
        </w:rPr>
        <w:t>年，蒸汽技术对英国年度劳动生产率增长的贡献为</w:t>
      </w:r>
      <w:r>
        <w:rPr>
          <w:rFonts w:eastAsia="宋体" w:cs="Times New Roman" w:hint="eastAsia"/>
          <w:sz w:val="24"/>
          <w:szCs w:val="24"/>
        </w:rPr>
        <w:t>0.35</w:t>
      </w:r>
      <w:r>
        <w:rPr>
          <w:rFonts w:eastAsia="宋体" w:cs="Times New Roman" w:hint="eastAsia"/>
          <w:sz w:val="24"/>
          <w:szCs w:val="24"/>
        </w:rPr>
        <w:t>个百分点。</w:t>
      </w:r>
      <w:r>
        <w:rPr>
          <w:rFonts w:eastAsia="宋体" w:cs="Times New Roman" w:hint="eastAsia"/>
          <w:sz w:val="24"/>
          <w:szCs w:val="24"/>
        </w:rPr>
        <w:t>Paolo</w:t>
      </w:r>
      <w:r>
        <w:rPr>
          <w:rFonts w:eastAsia="宋体" w:cs="Times New Roman" w:hint="eastAsia"/>
          <w:sz w:val="24"/>
          <w:szCs w:val="24"/>
        </w:rPr>
        <w:t>将数字技术进步带来的就业创造效果分为价格效应和收入效应，前者是指技术进步带来了劳动力生产效率的提升，导致产品生产成本降低、价格下降，在名义收入不变的情况下，市场会增加对产品的需求，继而带动产业规模扩大、产业工人增加。收入效应是指劳动力的提出与产出的增加，将会提升劳动者的收入、激发劳动者的需求，进而刺激企业扩大生产规模与用工规模</w:t>
      </w:r>
      <w:r>
        <w:rPr>
          <w:rFonts w:eastAsia="宋体" w:cs="Times New Roman"/>
          <w:sz w:val="24"/>
          <w:szCs w:val="24"/>
          <w:vertAlign w:val="superscript"/>
        </w:rPr>
        <w:t>[</w:t>
      </w:r>
      <w:r>
        <w:rPr>
          <w:rFonts w:eastAsia="宋体" w:cs="Times New Roman"/>
          <w:sz w:val="24"/>
          <w:szCs w:val="24"/>
          <w:vertAlign w:val="superscript"/>
        </w:rPr>
        <w:footnoteReference w:id="7"/>
      </w:r>
      <w:r>
        <w:rPr>
          <w:rFonts w:eastAsia="宋体" w:cs="Times New Roman"/>
          <w:sz w:val="24"/>
          <w:szCs w:val="24"/>
          <w:vertAlign w:val="superscript"/>
        </w:rPr>
        <w:t>]</w:t>
      </w:r>
      <w:r>
        <w:rPr>
          <w:rFonts w:eastAsia="宋体" w:cs="Times New Roman" w:hint="eastAsia"/>
          <w:sz w:val="24"/>
          <w:szCs w:val="24"/>
        </w:rPr>
        <w:t>。普华永道</w:t>
      </w:r>
      <w:r>
        <w:rPr>
          <w:rFonts w:eastAsia="宋体" w:cs="Times New Roman" w:hint="eastAsia"/>
          <w:sz w:val="24"/>
          <w:szCs w:val="24"/>
        </w:rPr>
        <w:lastRenderedPageBreak/>
        <w:t>分析认为，人工智能提升劳动生产率的同时，将对产品价格产生显著影响，提高消费者福利和实际收入水平，从而扩大消费需求；企业为了满足新增需求则需要雇佣更多劳动力，从而创造新就业。除了降低物价，人工智能等新技术，还能提升现有产品质量，创造更多新产品，这同样创造了更多就业需求</w:t>
      </w:r>
      <w:r>
        <w:rPr>
          <w:rFonts w:eastAsia="宋体" w:cs="Times New Roman"/>
          <w:sz w:val="24"/>
          <w:szCs w:val="24"/>
          <w:vertAlign w:val="superscript"/>
        </w:rPr>
        <w:t>[</w:t>
      </w:r>
      <w:r>
        <w:rPr>
          <w:rFonts w:eastAsia="宋体" w:cs="Times New Roman"/>
          <w:sz w:val="24"/>
          <w:szCs w:val="24"/>
          <w:vertAlign w:val="superscript"/>
        </w:rPr>
        <w:footnoteReference w:id="8"/>
      </w:r>
      <w:r>
        <w:rPr>
          <w:rFonts w:eastAsia="宋体" w:cs="Times New Roman"/>
          <w:sz w:val="24"/>
          <w:szCs w:val="24"/>
          <w:vertAlign w:val="superscript"/>
        </w:rPr>
        <w:t>]</w:t>
      </w:r>
      <w:r>
        <w:rPr>
          <w:rFonts w:eastAsia="宋体" w:cs="Times New Roman" w:hint="eastAsia"/>
          <w:sz w:val="24"/>
          <w:szCs w:val="24"/>
        </w:rPr>
        <w:t>。</w:t>
      </w:r>
    </w:p>
    <w:p w14:paraId="70410CDC"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二是创新驱动产业部门增长。</w:t>
      </w:r>
      <w:r>
        <w:rPr>
          <w:rFonts w:eastAsia="宋体" w:cs="Times New Roman" w:hint="eastAsia"/>
          <w:sz w:val="24"/>
          <w:szCs w:val="24"/>
        </w:rPr>
        <w:t>技术进步将通过创造新产品、新机器、新产业部门等促进就业增长。</w:t>
      </w:r>
      <w:r>
        <w:rPr>
          <w:rFonts w:eastAsia="宋体" w:cs="Times New Roman" w:hint="eastAsia"/>
          <w:sz w:val="24"/>
          <w:szCs w:val="24"/>
        </w:rPr>
        <w:t>Harrison</w:t>
      </w:r>
      <w:r>
        <w:rPr>
          <w:rFonts w:eastAsia="宋体" w:cs="Times New Roman" w:hint="eastAsia"/>
          <w:sz w:val="24"/>
          <w:szCs w:val="24"/>
        </w:rPr>
        <w:t>等研究发现，产品创新引致的新产品需求的增加极大地促进了就业。由产品创新带来的就业中，至多有</w:t>
      </w:r>
      <w:r>
        <w:rPr>
          <w:rFonts w:eastAsia="宋体" w:cs="Times New Roman" w:hint="eastAsia"/>
          <w:sz w:val="24"/>
          <w:szCs w:val="24"/>
        </w:rPr>
        <w:t>1/3</w:t>
      </w:r>
      <w:r>
        <w:rPr>
          <w:rFonts w:eastAsia="宋体" w:cs="Times New Roman" w:hint="eastAsia"/>
          <w:sz w:val="24"/>
          <w:szCs w:val="24"/>
        </w:rPr>
        <w:t>来自同行的工人的转移，最少有</w:t>
      </w:r>
      <w:r>
        <w:rPr>
          <w:rFonts w:eastAsia="宋体" w:cs="Times New Roman" w:hint="eastAsia"/>
          <w:sz w:val="24"/>
          <w:szCs w:val="24"/>
        </w:rPr>
        <w:t>1/3</w:t>
      </w:r>
      <w:r>
        <w:rPr>
          <w:rFonts w:eastAsia="宋体" w:cs="Times New Roman" w:hint="eastAsia"/>
          <w:sz w:val="24"/>
          <w:szCs w:val="24"/>
        </w:rPr>
        <w:t>来自于新产品的生产带来的市场扩张</w:t>
      </w:r>
      <w:r>
        <w:rPr>
          <w:rFonts w:eastAsia="宋体" w:cs="Times New Roman"/>
          <w:sz w:val="24"/>
          <w:szCs w:val="24"/>
          <w:vertAlign w:val="superscript"/>
        </w:rPr>
        <w:t>[</w:t>
      </w:r>
      <w:r>
        <w:rPr>
          <w:rFonts w:eastAsia="宋体" w:cs="Times New Roman"/>
          <w:sz w:val="24"/>
          <w:szCs w:val="24"/>
          <w:vertAlign w:val="superscript"/>
        </w:rPr>
        <w:footnoteReference w:id="9"/>
      </w:r>
      <w:r>
        <w:rPr>
          <w:rFonts w:eastAsia="宋体" w:cs="Times New Roman"/>
          <w:sz w:val="24"/>
          <w:szCs w:val="24"/>
          <w:vertAlign w:val="superscript"/>
        </w:rPr>
        <w:t>]</w:t>
      </w:r>
      <w:r>
        <w:rPr>
          <w:rFonts w:eastAsia="宋体" w:cs="Times New Roman" w:hint="eastAsia"/>
          <w:sz w:val="24"/>
          <w:szCs w:val="24"/>
        </w:rPr>
        <w:t>。一方面，数字技术的研发管理本身就需要高技能劳动力的大量投入，根据德勤的研究报告，在过去的</w:t>
      </w:r>
      <w:r>
        <w:rPr>
          <w:rFonts w:eastAsia="宋体" w:cs="Times New Roman" w:hint="eastAsia"/>
          <w:sz w:val="24"/>
          <w:szCs w:val="24"/>
        </w:rPr>
        <w:t>35</w:t>
      </w:r>
      <w:r>
        <w:rPr>
          <w:rFonts w:eastAsia="宋体" w:cs="Times New Roman" w:hint="eastAsia"/>
          <w:sz w:val="24"/>
          <w:szCs w:val="24"/>
        </w:rPr>
        <w:t>年里，英格兰和威尔士地区的信息技术管理人员增加了</w:t>
      </w:r>
      <w:r>
        <w:rPr>
          <w:rFonts w:eastAsia="宋体" w:cs="Times New Roman" w:hint="eastAsia"/>
          <w:sz w:val="24"/>
          <w:szCs w:val="24"/>
        </w:rPr>
        <w:t>6.5</w:t>
      </w:r>
      <w:r>
        <w:rPr>
          <w:rFonts w:eastAsia="宋体" w:cs="Times New Roman" w:hint="eastAsia"/>
          <w:sz w:val="24"/>
          <w:szCs w:val="24"/>
        </w:rPr>
        <w:t>倍，编程和软件开发人员增加了将近</w:t>
      </w:r>
      <w:r>
        <w:rPr>
          <w:rFonts w:eastAsia="宋体" w:cs="Times New Roman" w:hint="eastAsia"/>
          <w:sz w:val="24"/>
          <w:szCs w:val="24"/>
        </w:rPr>
        <w:t>3</w:t>
      </w:r>
      <w:r>
        <w:rPr>
          <w:rFonts w:eastAsia="宋体" w:cs="Times New Roman" w:hint="eastAsia"/>
          <w:sz w:val="24"/>
          <w:szCs w:val="24"/>
        </w:rPr>
        <w:t>倍。计算机的使用特别是人工智能技术的发展导致市场对高技能劳动力的需求显著增加。另一方面，数字经济与实体经济深度融合，由此诞生的新模式、新业态也创造了大量的新就业岗位。</w:t>
      </w:r>
      <w:r>
        <w:rPr>
          <w:rFonts w:eastAsia="宋体" w:cs="Times New Roman" w:hint="eastAsia"/>
          <w:sz w:val="24"/>
          <w:szCs w:val="24"/>
        </w:rPr>
        <w:t>Moretti</w:t>
      </w:r>
      <w:r>
        <w:rPr>
          <w:rFonts w:eastAsia="宋体" w:cs="Times New Roman" w:hint="eastAsia"/>
          <w:sz w:val="24"/>
          <w:szCs w:val="24"/>
        </w:rPr>
        <w:t>（</w:t>
      </w:r>
      <w:r>
        <w:rPr>
          <w:rFonts w:eastAsia="宋体" w:cs="Times New Roman" w:hint="eastAsia"/>
          <w:sz w:val="24"/>
          <w:szCs w:val="24"/>
        </w:rPr>
        <w:t>2012</w:t>
      </w:r>
      <w:r>
        <w:rPr>
          <w:rFonts w:eastAsia="宋体" w:cs="Times New Roman" w:hint="eastAsia"/>
          <w:sz w:val="24"/>
          <w:szCs w:val="24"/>
        </w:rPr>
        <w:t>）指出，</w:t>
      </w:r>
      <w:r>
        <w:rPr>
          <w:rFonts w:eastAsia="宋体" w:cs="Times New Roman" w:hint="eastAsia"/>
          <w:sz w:val="24"/>
          <w:szCs w:val="24"/>
        </w:rPr>
        <w:t>2001-2011</w:t>
      </w:r>
      <w:r>
        <w:rPr>
          <w:rFonts w:eastAsia="宋体" w:cs="Times New Roman" w:hint="eastAsia"/>
          <w:sz w:val="24"/>
          <w:szCs w:val="24"/>
        </w:rPr>
        <w:t>年间，互联网行业的工作岗位数量增长了</w:t>
      </w:r>
      <w:r>
        <w:rPr>
          <w:rFonts w:eastAsia="宋体" w:cs="Times New Roman" w:hint="eastAsia"/>
          <w:sz w:val="24"/>
          <w:szCs w:val="24"/>
        </w:rPr>
        <w:t>634</w:t>
      </w:r>
      <w:r>
        <w:rPr>
          <w:rFonts w:eastAsia="宋体" w:cs="Times New Roman" w:hint="eastAsia"/>
          <w:sz w:val="24"/>
          <w:szCs w:val="24"/>
        </w:rPr>
        <w:t>％，是同一时期在其他国家</w:t>
      </w:r>
      <w:r>
        <w:rPr>
          <w:rFonts w:eastAsia="宋体" w:cs="Times New Roman" w:hint="eastAsia"/>
          <w:sz w:val="24"/>
          <w:szCs w:val="24"/>
        </w:rPr>
        <w:t>/</w:t>
      </w:r>
      <w:r>
        <w:rPr>
          <w:rFonts w:eastAsia="宋体" w:cs="Times New Roman" w:hint="eastAsia"/>
          <w:sz w:val="24"/>
          <w:szCs w:val="24"/>
        </w:rPr>
        <w:t>地区经济总体工作岗位数量增长率的</w:t>
      </w:r>
      <w:r>
        <w:rPr>
          <w:rFonts w:eastAsia="宋体" w:cs="Times New Roman" w:hint="eastAsia"/>
          <w:sz w:val="24"/>
          <w:szCs w:val="24"/>
        </w:rPr>
        <w:t>200</w:t>
      </w:r>
      <w:r>
        <w:rPr>
          <w:rFonts w:eastAsia="宋体" w:cs="Times New Roman" w:hint="eastAsia"/>
          <w:sz w:val="24"/>
          <w:szCs w:val="24"/>
        </w:rPr>
        <w:t>倍以上。全球管理咨询公司麦肯锡估计，仅互联网部门就构成了</w:t>
      </w:r>
      <w:r>
        <w:rPr>
          <w:rFonts w:eastAsia="宋体" w:cs="Times New Roman" w:hint="eastAsia"/>
          <w:sz w:val="24"/>
          <w:szCs w:val="24"/>
        </w:rPr>
        <w:t>2004</w:t>
      </w:r>
      <w:r>
        <w:rPr>
          <w:rFonts w:eastAsia="宋体" w:cs="Times New Roman" w:hint="eastAsia"/>
          <w:sz w:val="24"/>
          <w:szCs w:val="24"/>
        </w:rPr>
        <w:t>～</w:t>
      </w:r>
      <w:r>
        <w:rPr>
          <w:rFonts w:eastAsia="宋体" w:cs="Times New Roman" w:hint="eastAsia"/>
          <w:sz w:val="24"/>
          <w:szCs w:val="24"/>
        </w:rPr>
        <w:t>2008</w:t>
      </w:r>
      <w:r>
        <w:rPr>
          <w:rFonts w:eastAsia="宋体" w:cs="Times New Roman" w:hint="eastAsia"/>
          <w:sz w:val="24"/>
          <w:szCs w:val="24"/>
        </w:rPr>
        <w:t>年美国经济增长的五分之一。</w:t>
      </w:r>
    </w:p>
    <w:p w14:paraId="0A974691"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三是技术扩散的补偿机制。</w:t>
      </w:r>
      <w:r>
        <w:rPr>
          <w:rFonts w:eastAsia="宋体" w:cs="Times New Roman" w:hint="eastAsia"/>
          <w:sz w:val="24"/>
          <w:szCs w:val="24"/>
        </w:rPr>
        <w:t>马克思指出，“虽然机器在应用它的劳动部门必然排挤工人，但是它能引起其他劳动部门就业的增加。”美国白宫数据显示，</w:t>
      </w:r>
      <w:r>
        <w:rPr>
          <w:rFonts w:eastAsia="宋体" w:cs="Times New Roman" w:hint="eastAsia"/>
          <w:sz w:val="24"/>
          <w:szCs w:val="24"/>
        </w:rPr>
        <w:t>1870</w:t>
      </w:r>
      <w:r>
        <w:rPr>
          <w:rFonts w:eastAsia="宋体" w:cs="Times New Roman" w:hint="eastAsia"/>
          <w:sz w:val="24"/>
          <w:szCs w:val="24"/>
        </w:rPr>
        <w:t>年有一半的劳动力从事农业生产，如今已不到</w:t>
      </w:r>
      <w:r>
        <w:rPr>
          <w:rFonts w:eastAsia="宋体" w:cs="Times New Roman" w:hint="eastAsia"/>
          <w:sz w:val="24"/>
          <w:szCs w:val="24"/>
        </w:rPr>
        <w:t>2%</w:t>
      </w:r>
      <w:r>
        <w:rPr>
          <w:rFonts w:eastAsia="宋体" w:cs="Times New Roman" w:hint="eastAsia"/>
          <w:sz w:val="24"/>
          <w:szCs w:val="24"/>
        </w:rPr>
        <w:t>。这意味着随着技术、经济的发展，美国超过一半的劳动力从农业转移至了工业、服务业等领域的新兴就业岗位。此外，数字经济的融合性特征还能对其他行业起到关联带动作用，美国有研究显示，城市中每增加</w:t>
      </w:r>
      <w:r>
        <w:rPr>
          <w:rFonts w:eastAsia="宋体" w:cs="Times New Roman" w:hint="eastAsia"/>
          <w:sz w:val="24"/>
          <w:szCs w:val="24"/>
        </w:rPr>
        <w:t>1</w:t>
      </w:r>
      <w:r>
        <w:rPr>
          <w:rFonts w:eastAsia="宋体" w:cs="Times New Roman" w:hint="eastAsia"/>
          <w:sz w:val="24"/>
          <w:szCs w:val="24"/>
        </w:rPr>
        <w:t>个高技能岗位，还会带来</w:t>
      </w:r>
      <w:r>
        <w:rPr>
          <w:rFonts w:eastAsia="宋体" w:cs="Times New Roman" w:hint="eastAsia"/>
          <w:sz w:val="24"/>
          <w:szCs w:val="24"/>
        </w:rPr>
        <w:t>5</w:t>
      </w:r>
      <w:r>
        <w:rPr>
          <w:rFonts w:eastAsia="宋体" w:cs="Times New Roman" w:hint="eastAsia"/>
          <w:sz w:val="24"/>
          <w:szCs w:val="24"/>
        </w:rPr>
        <w:t>个消费型服务业岗位，包括技术性职业（如律师、教师、护士）和非技术性职业（如服务员、美发师、木匠）。如苹果公司在库比蒂诺地区拥有</w:t>
      </w:r>
      <w:r>
        <w:rPr>
          <w:rFonts w:eastAsia="宋体" w:cs="Times New Roman" w:hint="eastAsia"/>
          <w:sz w:val="24"/>
          <w:szCs w:val="24"/>
        </w:rPr>
        <w:t>12000</w:t>
      </w:r>
      <w:r>
        <w:rPr>
          <w:rFonts w:eastAsia="宋体" w:cs="Times New Roman" w:hint="eastAsia"/>
          <w:sz w:val="24"/>
          <w:szCs w:val="24"/>
        </w:rPr>
        <w:t>名员工，同时也在当地创造了</w:t>
      </w:r>
      <w:r>
        <w:rPr>
          <w:rFonts w:eastAsia="宋体" w:cs="Times New Roman" w:hint="eastAsia"/>
          <w:sz w:val="24"/>
          <w:szCs w:val="24"/>
        </w:rPr>
        <w:t>60000</w:t>
      </w:r>
      <w:r>
        <w:rPr>
          <w:rFonts w:eastAsia="宋体" w:cs="Times New Roman" w:hint="eastAsia"/>
          <w:sz w:val="24"/>
          <w:szCs w:val="24"/>
        </w:rPr>
        <w:t>多个额外服务工作岗位，包括</w:t>
      </w:r>
      <w:r>
        <w:rPr>
          <w:rFonts w:eastAsia="宋体" w:cs="Times New Roman" w:hint="eastAsia"/>
          <w:sz w:val="24"/>
          <w:szCs w:val="24"/>
        </w:rPr>
        <w:t>36000</w:t>
      </w:r>
      <w:r>
        <w:rPr>
          <w:rFonts w:eastAsia="宋体" w:cs="Times New Roman" w:hint="eastAsia"/>
          <w:sz w:val="24"/>
          <w:szCs w:val="24"/>
        </w:rPr>
        <w:t>个非技术人员和</w:t>
      </w:r>
      <w:r>
        <w:rPr>
          <w:rFonts w:eastAsia="宋体" w:cs="Times New Roman" w:hint="eastAsia"/>
          <w:sz w:val="24"/>
          <w:szCs w:val="24"/>
        </w:rPr>
        <w:t>24000</w:t>
      </w:r>
      <w:r>
        <w:rPr>
          <w:rFonts w:eastAsia="宋体" w:cs="Times New Roman" w:hint="eastAsia"/>
          <w:sz w:val="24"/>
          <w:szCs w:val="24"/>
        </w:rPr>
        <w:t>个技术人员。相比之下，制造业每增加一个岗位，仅能增加</w:t>
      </w:r>
      <w:r>
        <w:rPr>
          <w:rFonts w:eastAsia="宋体" w:cs="Times New Roman" w:hint="eastAsia"/>
          <w:sz w:val="24"/>
          <w:szCs w:val="24"/>
        </w:rPr>
        <w:lastRenderedPageBreak/>
        <w:t>1.6</w:t>
      </w:r>
      <w:r>
        <w:rPr>
          <w:rFonts w:eastAsia="宋体" w:cs="Times New Roman" w:hint="eastAsia"/>
          <w:sz w:val="24"/>
          <w:szCs w:val="24"/>
        </w:rPr>
        <w:t>个带动就业</w:t>
      </w:r>
      <w:r>
        <w:rPr>
          <w:rFonts w:eastAsia="宋体"/>
          <w:sz w:val="24"/>
          <w:szCs w:val="24"/>
          <w:vertAlign w:val="superscript"/>
        </w:rPr>
        <w:t>[</w:t>
      </w:r>
      <w:r>
        <w:rPr>
          <w:rFonts w:eastAsia="宋体"/>
          <w:sz w:val="24"/>
          <w:szCs w:val="24"/>
          <w:vertAlign w:val="superscript"/>
        </w:rPr>
        <w:footnoteReference w:id="10"/>
      </w:r>
      <w:r>
        <w:rPr>
          <w:rFonts w:eastAsia="宋体"/>
          <w:sz w:val="24"/>
          <w:szCs w:val="24"/>
          <w:vertAlign w:val="superscript"/>
        </w:rPr>
        <w:t>]</w:t>
      </w:r>
      <w:r>
        <w:rPr>
          <w:rFonts w:eastAsia="宋体" w:cs="Times New Roman" w:hint="eastAsia"/>
          <w:sz w:val="24"/>
          <w:szCs w:val="24"/>
        </w:rPr>
        <w:t>。</w:t>
      </w:r>
    </w:p>
    <w:p w14:paraId="687AE43E" w14:textId="77777777" w:rsidR="00602083" w:rsidRDefault="00E51994">
      <w:pPr>
        <w:pStyle w:val="4"/>
      </w:pPr>
      <w:bookmarkStart w:id="32" w:name="_Toc92734346"/>
      <w:r>
        <w:rPr>
          <w:rFonts w:hint="eastAsia"/>
        </w:rPr>
        <w:t>2</w:t>
      </w:r>
      <w:r>
        <w:t>.</w:t>
      </w:r>
      <w:r>
        <w:rPr>
          <w:rFonts w:hint="eastAsia"/>
        </w:rPr>
        <w:t>数字经济对就业结构的总体影响</w:t>
      </w:r>
      <w:bookmarkEnd w:id="32"/>
    </w:p>
    <w:p w14:paraId="4D9307DF" w14:textId="77777777" w:rsidR="00602083" w:rsidRDefault="00E51994">
      <w:pPr>
        <w:spacing w:line="360" w:lineRule="auto"/>
        <w:ind w:firstLine="480"/>
        <w:outlineLvl w:val="3"/>
        <w:rPr>
          <w:rFonts w:eastAsia="宋体" w:cs="Times New Roman"/>
          <w:bCs/>
          <w:sz w:val="24"/>
          <w:szCs w:val="24"/>
        </w:rPr>
      </w:pPr>
      <w:r>
        <w:rPr>
          <w:rFonts w:eastAsia="宋体" w:cs="Times New Roman" w:hint="eastAsia"/>
          <w:bCs/>
          <w:sz w:val="24"/>
          <w:szCs w:val="24"/>
        </w:rPr>
        <w:t>（</w:t>
      </w:r>
      <w:r>
        <w:rPr>
          <w:rFonts w:eastAsia="宋体" w:cs="Times New Roman" w:hint="eastAsia"/>
          <w:bCs/>
          <w:sz w:val="24"/>
          <w:szCs w:val="24"/>
        </w:rPr>
        <w:t>1</w:t>
      </w:r>
      <w:r>
        <w:rPr>
          <w:rFonts w:eastAsia="宋体" w:cs="Times New Roman" w:hint="eastAsia"/>
          <w:bCs/>
          <w:sz w:val="24"/>
          <w:szCs w:val="24"/>
        </w:rPr>
        <w:t>）数字经济对不同地区的就业影响</w:t>
      </w:r>
    </w:p>
    <w:p w14:paraId="1CA1DEB0"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不同地区的数字经济就业效应不同，受到人才结构、经济状况、教育培训、社会保障、就业政策等多个维度的影响。首先，劳动力技能水平是影响人工智能等先进技术对就业影响的地区差异的主要因素。多数研究认为人工智能对中等技能劳动力的替代作用较大，对高技能劳动力的替代作用还不明显，且随着人工智能的持续发展，就业市场对高技能劳动力的需求也将不断增加。相对于发展中国家，美国、欧洲等发达经济体的中等技能劳动就业份额会减少，高技能劳动力比例将提高。其次，劳动力产业结构是也是影响人工智能对就业影响的地区差异的重要因素。</w:t>
      </w:r>
      <w:r>
        <w:rPr>
          <w:rFonts w:eastAsia="宋体" w:cs="Times New Roman" w:hint="eastAsia"/>
          <w:sz w:val="24"/>
          <w:szCs w:val="24"/>
        </w:rPr>
        <w:t>Berriman</w:t>
      </w:r>
      <w:r>
        <w:rPr>
          <w:rFonts w:eastAsia="宋体" w:cs="Times New Roman" w:hint="eastAsia"/>
          <w:sz w:val="24"/>
          <w:szCs w:val="24"/>
        </w:rPr>
        <w:t>和</w:t>
      </w:r>
      <w:r>
        <w:rPr>
          <w:rFonts w:eastAsia="宋体" w:cs="Times New Roman" w:hint="eastAsia"/>
          <w:sz w:val="24"/>
          <w:szCs w:val="24"/>
        </w:rPr>
        <w:t>Hawksworth</w:t>
      </w:r>
      <w:r>
        <w:rPr>
          <w:rFonts w:eastAsia="宋体" w:cs="Times New Roman" w:hint="eastAsia"/>
          <w:sz w:val="24"/>
          <w:szCs w:val="24"/>
        </w:rPr>
        <w:t>研究发现，技术进步对不同国家劳动力的影响异质性来源于各个国家特定行业构成的可自动化水平差异引起的</w:t>
      </w:r>
      <w:r>
        <w:rPr>
          <w:rFonts w:eastAsia="宋体"/>
          <w:sz w:val="24"/>
          <w:szCs w:val="24"/>
          <w:vertAlign w:val="superscript"/>
        </w:rPr>
        <w:t>[</w:t>
      </w:r>
      <w:r>
        <w:rPr>
          <w:rFonts w:eastAsia="宋体"/>
          <w:sz w:val="24"/>
          <w:szCs w:val="24"/>
          <w:vertAlign w:val="superscript"/>
        </w:rPr>
        <w:footnoteReference w:id="11"/>
      </w:r>
      <w:r>
        <w:rPr>
          <w:rFonts w:eastAsia="宋体"/>
          <w:sz w:val="24"/>
          <w:szCs w:val="24"/>
          <w:vertAlign w:val="superscript"/>
        </w:rPr>
        <w:t>]</w:t>
      </w:r>
      <w:r>
        <w:rPr>
          <w:rFonts w:eastAsia="宋体" w:cs="Times New Roman" w:hint="eastAsia"/>
          <w:sz w:val="24"/>
          <w:szCs w:val="24"/>
        </w:rPr>
        <w:t>。人工智能对不同产业劳动力存在显著的差异化影响，对诸如机械加工、焊接等行业的替代效应较大，对诸如认知类、创造类等其他行业的替代作用较小。第三，从生产要素的比较优势来看，以劳动力成本为主要驱动力的发展中国家将会受到更为不利的影响。</w:t>
      </w:r>
      <w:r>
        <w:rPr>
          <w:rFonts w:eastAsia="宋体" w:cs="Times New Roman" w:hint="eastAsia"/>
          <w:sz w:val="24"/>
          <w:szCs w:val="24"/>
        </w:rPr>
        <w:t>Abuselidze</w:t>
      </w:r>
      <w:r>
        <w:rPr>
          <w:rFonts w:eastAsia="宋体" w:cs="Times New Roman" w:hint="eastAsia"/>
          <w:sz w:val="24"/>
          <w:szCs w:val="24"/>
        </w:rPr>
        <w:t>和</w:t>
      </w:r>
      <w:r>
        <w:rPr>
          <w:rFonts w:eastAsia="宋体" w:cs="Times New Roman" w:hint="eastAsia"/>
          <w:sz w:val="24"/>
          <w:szCs w:val="24"/>
        </w:rPr>
        <w:t>Mamaladz</w:t>
      </w:r>
      <w:r>
        <w:rPr>
          <w:rFonts w:eastAsia="宋体" w:cs="Times New Roman" w:hint="eastAsia"/>
          <w:sz w:val="24"/>
          <w:szCs w:val="24"/>
        </w:rPr>
        <w:t>指出，随着人工智能的深入发展，机器生产会变得更加便宜，企业可能从劳动力成本较低的国家迁出，导致该国工作机会大量减少。但与此同时，如果有国家能够提供与新技术相匹配的劳动力，那么将会从技术变革中获益</w:t>
      </w:r>
      <w:r>
        <w:rPr>
          <w:rFonts w:eastAsia="宋体"/>
          <w:sz w:val="24"/>
          <w:szCs w:val="24"/>
          <w:vertAlign w:val="superscript"/>
        </w:rPr>
        <w:t>[</w:t>
      </w:r>
      <w:r>
        <w:rPr>
          <w:rFonts w:eastAsia="宋体"/>
          <w:sz w:val="24"/>
          <w:szCs w:val="24"/>
          <w:vertAlign w:val="superscript"/>
        </w:rPr>
        <w:footnoteReference w:id="12"/>
      </w:r>
      <w:r>
        <w:rPr>
          <w:rFonts w:eastAsia="宋体"/>
          <w:sz w:val="24"/>
          <w:szCs w:val="24"/>
          <w:vertAlign w:val="superscript"/>
        </w:rPr>
        <w:t>]</w:t>
      </w:r>
      <w:r>
        <w:rPr>
          <w:rFonts w:eastAsia="宋体" w:cs="Times New Roman" w:hint="eastAsia"/>
          <w:sz w:val="24"/>
          <w:szCs w:val="24"/>
        </w:rPr>
        <w:t>。</w:t>
      </w:r>
    </w:p>
    <w:p w14:paraId="08E8D644" w14:textId="77777777" w:rsidR="00602083" w:rsidRDefault="00E51994">
      <w:pPr>
        <w:spacing w:line="360" w:lineRule="auto"/>
        <w:ind w:firstLine="480"/>
        <w:outlineLvl w:val="3"/>
        <w:rPr>
          <w:rFonts w:eastAsia="宋体" w:cs="Times New Roman"/>
          <w:bCs/>
          <w:sz w:val="24"/>
          <w:szCs w:val="24"/>
        </w:rPr>
      </w:pPr>
      <w:r>
        <w:rPr>
          <w:rFonts w:eastAsia="宋体" w:cs="Times New Roman" w:hint="eastAsia"/>
          <w:bCs/>
          <w:sz w:val="24"/>
          <w:szCs w:val="24"/>
        </w:rPr>
        <w:t>（</w:t>
      </w:r>
      <w:r>
        <w:rPr>
          <w:rFonts w:eastAsia="宋体" w:cs="Times New Roman" w:hint="eastAsia"/>
          <w:bCs/>
          <w:sz w:val="24"/>
          <w:szCs w:val="24"/>
        </w:rPr>
        <w:t>2</w:t>
      </w:r>
      <w:r>
        <w:rPr>
          <w:rFonts w:eastAsia="宋体" w:cs="Times New Roman" w:hint="eastAsia"/>
          <w:bCs/>
          <w:sz w:val="24"/>
          <w:szCs w:val="24"/>
        </w:rPr>
        <w:t>）数字经济对不同产业的就业影响</w:t>
      </w:r>
    </w:p>
    <w:p w14:paraId="67709763"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对不同产业的就业影响存在较大差异。第一，对农业部门就业的影响。当前我国农业数字化渗透率还处于较低水平，因而创新技术还未能够对农业劳动力市场产生较大影响，未来其影响水平将随着数字经济的纵深发展不断提升。智慧农业发展将成为促进农业转型升级、提高农业质量效益和竞争力、带动农民增收致富的坚实支撑。但与此同时，数字经济的发展也会提高农业部门对技术的需要，进而倒逼农业劳动者通过学习、培训等方式提高自身技能水平，完成向技术劳动力的转型；同时</w:t>
      </w:r>
      <w:r>
        <w:rPr>
          <w:rFonts w:eastAsia="宋体" w:cs="Times New Roman" w:hint="eastAsia"/>
          <w:sz w:val="24"/>
          <w:szCs w:val="24"/>
        </w:rPr>
        <w:lastRenderedPageBreak/>
        <w:t>自动化农业设备的应用也会对部分农民形成替代作用。</w:t>
      </w:r>
    </w:p>
    <w:p w14:paraId="656CA301"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第二，对制造业部门的就业影响。我国作为世界第一制造大国，也是制造业就业第一大国。数字经济在推动制造业转型升级的同时，也对就业带来较大挑战。一方面，数字技术对部分程式性、流水线式工作岗位产生巨大冲击，</w:t>
      </w:r>
      <w:r>
        <w:rPr>
          <w:rFonts w:eastAsia="宋体" w:cs="Times New Roman" w:hint="eastAsia"/>
          <w:sz w:val="24"/>
          <w:szCs w:val="24"/>
        </w:rPr>
        <w:t>20</w:t>
      </w:r>
      <w:r>
        <w:rPr>
          <w:rFonts w:eastAsia="宋体" w:cs="Times New Roman" w:hint="eastAsia"/>
          <w:sz w:val="24"/>
          <w:szCs w:val="24"/>
        </w:rPr>
        <w:t>世纪</w:t>
      </w:r>
      <w:r>
        <w:rPr>
          <w:rFonts w:eastAsia="宋体" w:cs="Times New Roman" w:hint="eastAsia"/>
          <w:sz w:val="24"/>
          <w:szCs w:val="24"/>
        </w:rPr>
        <w:t>80</w:t>
      </w:r>
      <w:r>
        <w:rPr>
          <w:rFonts w:eastAsia="宋体" w:cs="Times New Roman" w:hint="eastAsia"/>
          <w:sz w:val="24"/>
          <w:szCs w:val="24"/>
        </w:rPr>
        <w:t>年代后期，人工智能的出现使得包括机械加工、焊接等在内的部分劳动密集型制造业实现了自动化，这部分行业中的劳动力逐渐被人工智能取代。另一方面，制造业的高质量发展存在较大的技能型缺口，随着制造业结构转型升级步伐加快，新兴行业的人才需求迅速扩大。在今年一季度人社部公布的“‘最缺工’的</w:t>
      </w:r>
      <w:r>
        <w:rPr>
          <w:rFonts w:eastAsia="宋体" w:cs="Times New Roman" w:hint="eastAsia"/>
          <w:sz w:val="24"/>
          <w:szCs w:val="24"/>
        </w:rPr>
        <w:t>100</w:t>
      </w:r>
      <w:r>
        <w:rPr>
          <w:rFonts w:eastAsia="宋体" w:cs="Times New Roman" w:hint="eastAsia"/>
          <w:sz w:val="24"/>
          <w:szCs w:val="24"/>
        </w:rPr>
        <w:t>个职业排行”中，制造业高技能工人招聘岗位需求势头旺盛。汽车零部件再制造工、电池制造工、印制电路制作工、半导体芯片制造工等职业新进排行。但在产业需求蓬勃的同时，短期之内人才供给却无法及时跟上，出现了较大的人才结构性缺口。</w:t>
      </w:r>
    </w:p>
    <w:p w14:paraId="13B648BD"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第三，对服务业部门的就业影响。服务业是中国经济总量中占比最高的部门，也是数字经济最为活跃的领域，与数字化的深度结合将极大地推动行业提质增效、带动就业增长。数字经济的发展在推动传统服务业向智能化产业转型升级的过程中，也将通过服务业生产率的提升，促进产业结构升级中“鲍莫尔病”的解决，为提高经济整体效率提供了重要支撑。根据美国劳工统计局（</w:t>
      </w:r>
      <w:r>
        <w:rPr>
          <w:rFonts w:eastAsia="宋体" w:cs="Times New Roman" w:hint="eastAsia"/>
          <w:sz w:val="24"/>
          <w:szCs w:val="24"/>
        </w:rPr>
        <w:t>BLS</w:t>
      </w:r>
      <w:r>
        <w:rPr>
          <w:rFonts w:eastAsia="宋体" w:cs="Times New Roman" w:hint="eastAsia"/>
          <w:sz w:val="24"/>
          <w:szCs w:val="24"/>
        </w:rPr>
        <w:t>）研究表明，预计在</w:t>
      </w:r>
      <w:r>
        <w:rPr>
          <w:rFonts w:eastAsia="宋体" w:cs="Times New Roman" w:hint="eastAsia"/>
          <w:sz w:val="24"/>
          <w:szCs w:val="24"/>
        </w:rPr>
        <w:t>2024</w:t>
      </w:r>
      <w:r>
        <w:rPr>
          <w:rFonts w:eastAsia="宋体" w:cs="Times New Roman" w:hint="eastAsia"/>
          <w:sz w:val="24"/>
          <w:szCs w:val="24"/>
        </w:rPr>
        <w:t>年之前的十年中，劳动力市场上的大部分就业增长都将出现在服务业领域。</w:t>
      </w:r>
    </w:p>
    <w:p w14:paraId="5311394D" w14:textId="77777777" w:rsidR="00602083" w:rsidRDefault="00E51994">
      <w:pPr>
        <w:spacing w:line="360" w:lineRule="auto"/>
        <w:ind w:firstLine="480"/>
        <w:outlineLvl w:val="3"/>
        <w:rPr>
          <w:rFonts w:eastAsia="宋体" w:cs="Times New Roman"/>
          <w:bCs/>
          <w:sz w:val="24"/>
          <w:szCs w:val="24"/>
        </w:rPr>
      </w:pPr>
      <w:bookmarkStart w:id="33" w:name="_Toc21352"/>
      <w:r>
        <w:rPr>
          <w:rFonts w:eastAsia="宋体" w:cs="Times New Roman" w:hint="eastAsia"/>
          <w:bCs/>
          <w:sz w:val="24"/>
          <w:szCs w:val="24"/>
        </w:rPr>
        <w:t>（</w:t>
      </w:r>
      <w:r>
        <w:rPr>
          <w:rFonts w:eastAsia="宋体" w:cs="Times New Roman" w:hint="eastAsia"/>
          <w:bCs/>
          <w:sz w:val="24"/>
          <w:szCs w:val="24"/>
        </w:rPr>
        <w:t>3</w:t>
      </w:r>
      <w:r>
        <w:rPr>
          <w:rFonts w:eastAsia="宋体" w:cs="Times New Roman" w:hint="eastAsia"/>
          <w:bCs/>
          <w:sz w:val="24"/>
          <w:szCs w:val="24"/>
        </w:rPr>
        <w:t>）数字经济对不同群体的就业影响</w:t>
      </w:r>
    </w:p>
    <w:p w14:paraId="56D0131E" w14:textId="77777777" w:rsidR="00602083" w:rsidRDefault="00E51994">
      <w:pPr>
        <w:spacing w:line="360" w:lineRule="auto"/>
        <w:ind w:firstLine="480"/>
        <w:rPr>
          <w:rFonts w:eastAsia="宋体" w:cs="Times New Roman"/>
          <w:sz w:val="24"/>
          <w:szCs w:val="30"/>
        </w:rPr>
      </w:pPr>
      <w:r>
        <w:rPr>
          <w:rFonts w:eastAsia="宋体" w:cs="Times New Roman" w:hint="eastAsia"/>
          <w:sz w:val="24"/>
          <w:szCs w:val="24"/>
        </w:rPr>
        <w:t>数字经济的发展对不同教育、技能水平的劳动力存在差异性影响，对教育水平和技能水平更低的劳动力产生的不利影响更大。以人工智能为例，人工智能对常规性任务的替代概率更大，而普通劳动力往往集中分布在这些任务区间，相比之下高技能劳动力被人工智能替代的可能性较小。第一，按照教育水平划分。</w:t>
      </w:r>
      <w:r>
        <w:rPr>
          <w:rFonts w:eastAsia="宋体" w:cs="Times New Roman" w:hint="eastAsia"/>
          <w:sz w:val="24"/>
          <w:szCs w:val="24"/>
        </w:rPr>
        <w:t>Lordan</w:t>
      </w:r>
      <w:r>
        <w:rPr>
          <w:rFonts w:eastAsia="宋体" w:cs="Times New Roman" w:hint="eastAsia"/>
          <w:sz w:val="24"/>
          <w:szCs w:val="24"/>
        </w:rPr>
        <w:t>和</w:t>
      </w:r>
      <w:r>
        <w:rPr>
          <w:rFonts w:eastAsia="宋体" w:cs="Times New Roman" w:hint="eastAsia"/>
          <w:sz w:val="24"/>
          <w:szCs w:val="24"/>
        </w:rPr>
        <w:t>Neumark</w:t>
      </w:r>
      <w:r>
        <w:rPr>
          <w:rFonts w:eastAsia="宋体" w:cs="Times New Roman" w:hint="eastAsia"/>
          <w:sz w:val="24"/>
          <w:szCs w:val="24"/>
        </w:rPr>
        <w:t>（</w:t>
      </w:r>
      <w:r>
        <w:rPr>
          <w:rFonts w:eastAsia="宋体" w:cs="Times New Roman" w:hint="eastAsia"/>
          <w:sz w:val="24"/>
          <w:szCs w:val="24"/>
        </w:rPr>
        <w:t>2018</w:t>
      </w:r>
      <w:r>
        <w:rPr>
          <w:rFonts w:eastAsia="宋体" w:cs="Times New Roman" w:hint="eastAsia"/>
          <w:sz w:val="24"/>
          <w:szCs w:val="24"/>
        </w:rPr>
        <w:t>）将低技能劳动力定义为具有高中及以下学历的就业群体，利用</w:t>
      </w:r>
      <w:r>
        <w:rPr>
          <w:rFonts w:eastAsia="宋体" w:cs="Times New Roman" w:hint="eastAsia"/>
          <w:sz w:val="24"/>
          <w:szCs w:val="24"/>
        </w:rPr>
        <w:t>1980</w:t>
      </w:r>
      <w:r>
        <w:rPr>
          <w:rFonts w:eastAsia="宋体" w:cs="Times New Roman" w:hint="eastAsia"/>
          <w:sz w:val="24"/>
          <w:szCs w:val="24"/>
        </w:rPr>
        <w:t>—</w:t>
      </w:r>
      <w:r>
        <w:rPr>
          <w:rFonts w:eastAsia="宋体" w:cs="Times New Roman" w:hint="eastAsia"/>
          <w:sz w:val="24"/>
          <w:szCs w:val="24"/>
        </w:rPr>
        <w:t>2015</w:t>
      </w:r>
      <w:r>
        <w:rPr>
          <w:rFonts w:eastAsia="宋体" w:cs="Times New Roman" w:hint="eastAsia"/>
          <w:sz w:val="24"/>
          <w:szCs w:val="24"/>
        </w:rPr>
        <w:t>年间的</w:t>
      </w:r>
      <w:r>
        <w:rPr>
          <w:rFonts w:eastAsia="宋体" w:cs="Times New Roman" w:hint="eastAsia"/>
          <w:sz w:val="24"/>
          <w:szCs w:val="24"/>
        </w:rPr>
        <w:t>CPS</w:t>
      </w:r>
      <w:r>
        <w:rPr>
          <w:rFonts w:eastAsia="宋体" w:cs="Times New Roman" w:hint="eastAsia"/>
          <w:sz w:val="24"/>
          <w:szCs w:val="24"/>
        </w:rPr>
        <w:t>样本数据研究发现，自动化技术不利于低技能劳动力就业，但对高技能劳动力有积极影响。第二，按照工作任务、工作类型划分。自动化技术能够替代执行常规任务的工人，但无法替代从事非常规任务的工人，人工智能会减少对常规技能工人、增加对非常规技能工人的市场需求。</w:t>
      </w:r>
      <w:r>
        <w:rPr>
          <w:rFonts w:eastAsia="宋体" w:cs="Times New Roman" w:hint="eastAsia"/>
          <w:sz w:val="24"/>
          <w:szCs w:val="24"/>
        </w:rPr>
        <w:t>Acemoglu</w:t>
      </w:r>
      <w:r>
        <w:rPr>
          <w:rFonts w:eastAsia="宋体" w:cs="Times New Roman" w:hint="eastAsia"/>
          <w:sz w:val="24"/>
          <w:szCs w:val="24"/>
        </w:rPr>
        <w:t>和</w:t>
      </w:r>
      <w:r>
        <w:rPr>
          <w:rFonts w:eastAsia="宋体" w:cs="Times New Roman" w:hint="eastAsia"/>
          <w:sz w:val="24"/>
          <w:szCs w:val="24"/>
        </w:rPr>
        <w:t>Autor</w:t>
      </w:r>
      <w:r>
        <w:rPr>
          <w:rFonts w:eastAsia="宋体" w:cs="Times New Roman" w:hint="eastAsia"/>
          <w:sz w:val="24"/>
          <w:szCs w:val="24"/>
        </w:rPr>
        <w:t>（</w:t>
      </w:r>
      <w:r>
        <w:rPr>
          <w:rFonts w:eastAsia="宋体" w:cs="Times New Roman" w:hint="eastAsia"/>
          <w:sz w:val="24"/>
          <w:szCs w:val="24"/>
        </w:rPr>
        <w:t>2010</w:t>
      </w:r>
      <w:r>
        <w:rPr>
          <w:rFonts w:eastAsia="宋体" w:cs="Times New Roman" w:hint="eastAsia"/>
          <w:sz w:val="24"/>
          <w:szCs w:val="24"/>
        </w:rPr>
        <w:t>）建立简单任务模型发现，自动化技术能够提高对从事管理等工作的高技能劳动力的就业需求，同时也</w:t>
      </w:r>
      <w:r>
        <w:rPr>
          <w:rFonts w:eastAsia="宋体" w:cs="Times New Roman" w:hint="eastAsia"/>
          <w:sz w:val="24"/>
          <w:szCs w:val="24"/>
        </w:rPr>
        <w:lastRenderedPageBreak/>
        <w:t>会降低执行规则化任务的中等技能劳动力的就业比例</w:t>
      </w:r>
      <w:r>
        <w:rPr>
          <w:rFonts w:eastAsia="宋体"/>
          <w:sz w:val="24"/>
          <w:szCs w:val="24"/>
          <w:vertAlign w:val="superscript"/>
        </w:rPr>
        <w:t>[</w:t>
      </w:r>
      <w:r>
        <w:rPr>
          <w:rFonts w:eastAsia="宋体"/>
          <w:sz w:val="24"/>
          <w:szCs w:val="24"/>
          <w:vertAlign w:val="superscript"/>
        </w:rPr>
        <w:footnoteReference w:id="13"/>
      </w:r>
      <w:r>
        <w:rPr>
          <w:rFonts w:eastAsia="宋体"/>
          <w:sz w:val="24"/>
          <w:szCs w:val="24"/>
          <w:vertAlign w:val="superscript"/>
        </w:rPr>
        <w:t>]</w:t>
      </w:r>
      <w:r>
        <w:rPr>
          <w:rFonts w:eastAsia="宋体" w:cs="Times New Roman" w:hint="eastAsia"/>
          <w:sz w:val="24"/>
          <w:szCs w:val="24"/>
        </w:rPr>
        <w:t>。</w:t>
      </w:r>
      <w:r>
        <w:rPr>
          <w:rFonts w:eastAsia="宋体" w:cs="Times New Roman" w:hint="eastAsia"/>
          <w:sz w:val="24"/>
          <w:szCs w:val="24"/>
        </w:rPr>
        <w:t>Sachs</w:t>
      </w:r>
      <w:r>
        <w:rPr>
          <w:rFonts w:eastAsia="宋体" w:cs="Times New Roman" w:hint="eastAsia"/>
          <w:sz w:val="24"/>
          <w:szCs w:val="24"/>
        </w:rPr>
        <w:t>（</w:t>
      </w:r>
      <w:r>
        <w:rPr>
          <w:rFonts w:eastAsia="宋体" w:cs="Times New Roman" w:hint="eastAsia"/>
          <w:sz w:val="24"/>
          <w:szCs w:val="24"/>
        </w:rPr>
        <w:t>2018</w:t>
      </w:r>
      <w:r>
        <w:rPr>
          <w:rFonts w:eastAsia="宋体" w:cs="Times New Roman" w:hint="eastAsia"/>
          <w:sz w:val="24"/>
          <w:szCs w:val="24"/>
        </w:rPr>
        <w:t>）提出短期内低技能劳动力就业比例下降，中、高技能劳动力就业比例相应上升；长期来看，中等技能劳动力被替代的风险增加，这一群体将通过进一步学习和深造进入高技能劳动行列，最终，劳动力市场只存在低、高技能就业群体</w:t>
      </w:r>
      <w:r>
        <w:rPr>
          <w:rFonts w:eastAsia="宋体"/>
          <w:sz w:val="24"/>
          <w:szCs w:val="24"/>
          <w:vertAlign w:val="superscript"/>
        </w:rPr>
        <w:t>[</w:t>
      </w:r>
      <w:r>
        <w:rPr>
          <w:rFonts w:eastAsia="宋体"/>
          <w:sz w:val="24"/>
          <w:szCs w:val="24"/>
          <w:vertAlign w:val="superscript"/>
        </w:rPr>
        <w:footnoteReference w:id="14"/>
      </w:r>
      <w:r>
        <w:rPr>
          <w:rFonts w:eastAsia="宋体"/>
          <w:sz w:val="24"/>
          <w:szCs w:val="24"/>
          <w:vertAlign w:val="superscript"/>
        </w:rPr>
        <w:t>]</w:t>
      </w:r>
      <w:r>
        <w:rPr>
          <w:rFonts w:eastAsia="宋体" w:cs="Times New Roman" w:hint="eastAsia"/>
          <w:sz w:val="24"/>
          <w:szCs w:val="24"/>
        </w:rPr>
        <w:t>。</w:t>
      </w:r>
    </w:p>
    <w:p w14:paraId="077A3F11" w14:textId="77777777" w:rsidR="00602083" w:rsidRDefault="00E51994">
      <w:pPr>
        <w:pStyle w:val="3"/>
        <w:spacing w:before="192" w:after="240"/>
        <w:ind w:firstLine="480"/>
      </w:pPr>
      <w:bookmarkStart w:id="34" w:name="_Toc92734347"/>
      <w:bookmarkStart w:id="35" w:name="_Toc93925270"/>
      <w:r>
        <w:t>（二）数字经济影响收入分配的机制机理</w:t>
      </w:r>
      <w:bookmarkEnd w:id="33"/>
      <w:bookmarkEnd w:id="34"/>
      <w:bookmarkEnd w:id="35"/>
    </w:p>
    <w:p w14:paraId="77D2287E" w14:textId="77777777" w:rsidR="00602083" w:rsidRDefault="00E51994">
      <w:pPr>
        <w:pStyle w:val="4"/>
      </w:pPr>
      <w:bookmarkStart w:id="36" w:name="_Toc92734348"/>
      <w:bookmarkStart w:id="37" w:name="_Toc3111"/>
      <w:r>
        <w:t>1</w:t>
      </w:r>
      <w:r>
        <w:rPr>
          <w:rFonts w:hint="eastAsia"/>
        </w:rPr>
        <w:t>.</w:t>
      </w:r>
      <w:r>
        <w:t>数字经济对</w:t>
      </w:r>
      <w:r>
        <w:rPr>
          <w:rFonts w:hint="eastAsia"/>
        </w:rPr>
        <w:t>收入分配</w:t>
      </w:r>
      <w:r>
        <w:t>的总体影响</w:t>
      </w:r>
      <w:bookmarkEnd w:id="36"/>
      <w:bookmarkEnd w:id="37"/>
    </w:p>
    <w:p w14:paraId="54686840"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对收入分配产生影响的渠道包括两种，一种是直接影响，即以数字经济本身的发展对收入分配产生影响，特别是一些代表性的数字经济门类；一种是通过数字经济的相关特征或者影响对收入分配产生影响，这主要体现在数字经济发展是一种技术进步的结果，同时数字经济会引起产业结构优化。</w:t>
      </w:r>
    </w:p>
    <w:p w14:paraId="44745077" w14:textId="77777777" w:rsidR="00602083" w:rsidRDefault="00E51994">
      <w:pPr>
        <w:spacing w:line="360" w:lineRule="auto"/>
        <w:ind w:firstLine="480"/>
        <w:outlineLvl w:val="3"/>
        <w:rPr>
          <w:rFonts w:eastAsia="宋体" w:cs="Times New Roman"/>
          <w:bCs/>
          <w:sz w:val="24"/>
          <w:szCs w:val="24"/>
        </w:rPr>
      </w:pPr>
      <w:r>
        <w:rPr>
          <w:rFonts w:eastAsia="宋体" w:cs="Times New Roman" w:hint="eastAsia"/>
          <w:bCs/>
          <w:sz w:val="24"/>
          <w:szCs w:val="24"/>
        </w:rPr>
        <w:t>（</w:t>
      </w:r>
      <w:r>
        <w:rPr>
          <w:rFonts w:eastAsia="宋体" w:cs="Times New Roman" w:hint="eastAsia"/>
          <w:bCs/>
          <w:sz w:val="24"/>
          <w:szCs w:val="24"/>
        </w:rPr>
        <w:t>1</w:t>
      </w:r>
      <w:r>
        <w:rPr>
          <w:rFonts w:eastAsia="宋体" w:cs="Times New Roman" w:hint="eastAsia"/>
          <w:bCs/>
          <w:sz w:val="24"/>
          <w:szCs w:val="24"/>
        </w:rPr>
        <w:t>）数字经济发展本身对收入分配结构的影响机制</w:t>
      </w:r>
    </w:p>
    <w:p w14:paraId="3D3FD0AE"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数字经济对收入分配结构的正面影响主要表现在通过向低技能从业人员、特殊群体等提供就业机会，从而使分配流向低收入群体和弱势群体，具体表现在以下三面。</w:t>
      </w:r>
    </w:p>
    <w:p w14:paraId="543568D2"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第一，数字经济对收入分配的改善作用表现为可以为低技能从业人员提供了收入机会。数字经济的发展催生了大量的新型就业岗位，例如网约车司机、外卖骑手、代驾等灵活就业人员，这些就业机会入职门槛低，为低技能劳动者增加收入提供了机会。根据相关平台数据显示，</w:t>
      </w:r>
      <w:r>
        <w:rPr>
          <w:rFonts w:eastAsia="宋体" w:cs="Times New Roman" w:hint="eastAsia"/>
          <w:sz w:val="24"/>
          <w:szCs w:val="24"/>
        </w:rPr>
        <w:t>2019</w:t>
      </w:r>
      <w:r>
        <w:rPr>
          <w:rFonts w:eastAsia="宋体" w:cs="Times New Roman" w:hint="eastAsia"/>
          <w:sz w:val="24"/>
          <w:szCs w:val="24"/>
        </w:rPr>
        <w:t>年滴滴网约车司机（专职</w:t>
      </w:r>
      <w:r>
        <w:rPr>
          <w:rFonts w:eastAsia="宋体" w:cs="Times New Roman" w:hint="eastAsia"/>
          <w:sz w:val="24"/>
          <w:szCs w:val="24"/>
        </w:rPr>
        <w:t>+</w:t>
      </w:r>
      <w:r>
        <w:rPr>
          <w:rFonts w:eastAsia="宋体" w:cs="Times New Roman" w:hint="eastAsia"/>
          <w:sz w:val="24"/>
          <w:szCs w:val="24"/>
        </w:rPr>
        <w:t>兼职）的平均月收入为</w:t>
      </w:r>
      <w:r>
        <w:rPr>
          <w:rFonts w:eastAsia="宋体" w:cs="Times New Roman" w:hint="eastAsia"/>
          <w:sz w:val="24"/>
          <w:szCs w:val="24"/>
        </w:rPr>
        <w:t>2522</w:t>
      </w:r>
      <w:r>
        <w:rPr>
          <w:rFonts w:eastAsia="宋体" w:cs="Times New Roman" w:hint="eastAsia"/>
          <w:sz w:val="24"/>
          <w:szCs w:val="24"/>
        </w:rPr>
        <w:t>元，在一线城市则超过</w:t>
      </w:r>
      <w:r>
        <w:rPr>
          <w:rFonts w:eastAsia="宋体" w:cs="Times New Roman" w:hint="eastAsia"/>
          <w:sz w:val="24"/>
          <w:szCs w:val="24"/>
        </w:rPr>
        <w:t>5000</w:t>
      </w:r>
      <w:r>
        <w:rPr>
          <w:rFonts w:eastAsia="宋体" w:cs="Times New Roman" w:hint="eastAsia"/>
          <w:sz w:val="24"/>
          <w:szCs w:val="24"/>
        </w:rPr>
        <w:t>元；</w:t>
      </w:r>
      <w:r>
        <w:rPr>
          <w:rFonts w:eastAsia="宋体" w:cs="Times New Roman" w:hint="eastAsia"/>
          <w:sz w:val="24"/>
          <w:szCs w:val="24"/>
        </w:rPr>
        <w:t>2020</w:t>
      </w:r>
      <w:r>
        <w:rPr>
          <w:rFonts w:eastAsia="宋体" w:cs="Times New Roman" w:hint="eastAsia"/>
          <w:sz w:val="24"/>
          <w:szCs w:val="24"/>
        </w:rPr>
        <w:t>年美团骑手（专送</w:t>
      </w:r>
      <w:r>
        <w:rPr>
          <w:rFonts w:eastAsia="宋体" w:cs="Times New Roman" w:hint="eastAsia"/>
          <w:sz w:val="24"/>
          <w:szCs w:val="24"/>
        </w:rPr>
        <w:t>+</w:t>
      </w:r>
      <w:r>
        <w:rPr>
          <w:rFonts w:eastAsia="宋体" w:cs="Times New Roman" w:hint="eastAsia"/>
          <w:sz w:val="24"/>
          <w:szCs w:val="24"/>
        </w:rPr>
        <w:t>众包）的月均收入达到</w:t>
      </w:r>
      <w:r>
        <w:rPr>
          <w:rFonts w:eastAsia="宋体" w:cs="Times New Roman" w:hint="eastAsia"/>
          <w:sz w:val="24"/>
          <w:szCs w:val="24"/>
        </w:rPr>
        <w:t>4950.8</w:t>
      </w:r>
      <w:r>
        <w:rPr>
          <w:rFonts w:eastAsia="宋体" w:cs="Times New Roman" w:hint="eastAsia"/>
          <w:sz w:val="24"/>
          <w:szCs w:val="24"/>
        </w:rPr>
        <w:t>元，上述收入均高于同等或类似技能劳动力从事其他行业获得的平均收入水平，其中很大一部分还是劳动者的兼职收入。</w:t>
      </w:r>
    </w:p>
    <w:p w14:paraId="20031051"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第二，数字经济对收入分配的改善作用在于数字技术降低了部分职业的就业门槛，从而为特殊群体提供了就业机会并获得收入。数字技术的发展，极大地改变了许多行业的生产流程和运营规则，从而降低了相关职业对所需劳动力的技能要求。如阿里的“云客服”这一职业，通过互联网技术远程为客户提供咨询服务，打破了传统职</w:t>
      </w:r>
      <w:r>
        <w:rPr>
          <w:rFonts w:eastAsia="宋体" w:cs="Times New Roman" w:hint="eastAsia"/>
          <w:sz w:val="24"/>
          <w:szCs w:val="24"/>
        </w:rPr>
        <w:lastRenderedPageBreak/>
        <w:t>业对于工作时间和地点的限定，从而降低了残疾人就业的门槛，并帮助大量残疾人获得了收入。</w:t>
      </w:r>
    </w:p>
    <w:p w14:paraId="3095A69A"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第三，数字经济与其他行业的融合发展有助于发挥普惠效应。以数字金融为例，互联网革命所带来的数字经济尤其是数字金融的发展，改善了金融服务的便利性和可获得性，具有扁平化的结构特征、消除了大量的中间环节互联网的数字经济和数字金融，使金融服务的便利性大幅度改善，扩大了触及率，尤其改善了原先被传统金融排除在外的群体的收入不平等问题</w:t>
      </w:r>
      <w:r>
        <w:rPr>
          <w:rFonts w:eastAsia="宋体" w:cs="Times New Roman"/>
          <w:sz w:val="24"/>
          <w:szCs w:val="24"/>
          <w:vertAlign w:val="superscript"/>
        </w:rPr>
        <w:t>[</w:t>
      </w:r>
      <w:r>
        <w:rPr>
          <w:rFonts w:eastAsia="宋体" w:cs="Times New Roman"/>
          <w:sz w:val="24"/>
          <w:szCs w:val="24"/>
          <w:vertAlign w:val="superscript"/>
        </w:rPr>
        <w:footnoteReference w:id="15"/>
      </w:r>
      <w:r>
        <w:rPr>
          <w:rFonts w:eastAsia="宋体" w:cs="Times New Roman"/>
          <w:sz w:val="24"/>
          <w:szCs w:val="24"/>
          <w:vertAlign w:val="superscript"/>
        </w:rPr>
        <w:t>]</w:t>
      </w:r>
      <w:r>
        <w:rPr>
          <w:rFonts w:eastAsia="宋体" w:cs="Times New Roman" w:hint="eastAsia"/>
          <w:sz w:val="24"/>
          <w:szCs w:val="24"/>
        </w:rPr>
        <w:t>。</w:t>
      </w:r>
    </w:p>
    <w:p w14:paraId="78253E1B"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同时，数字经济对收入分配存在负向传导的机制，具体表现在三个方面。</w:t>
      </w:r>
    </w:p>
    <w:p w14:paraId="47CC7BAF"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第一，数字经济的发展拉高了资本收入份额，从而从比例上降低了劳动收入份额。已有不少理论与实证研究表明，数字经济的快速发展在短期内会降低劳动收入份额、提高资本收入份额。这是由于，数字技术的保有方和优先使用人大多数资本实力雄厚的头部企业，技术带来的回报都反映在了企业的收入中，数据要素虽然作为一种重要的生产要素参与分配，但是数据收益基本归属资本方。</w:t>
      </w:r>
    </w:p>
    <w:p w14:paraId="0AB1B561"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第二，数字经济的发展不规范使得灵活就业人员的权益保障尚未形成完整体系，从而对从业者的实际收入造成负面影响。与传统雇佣用工相比，灵活就业人员劳动自主性强，时间空间约束性弱，不同于传统劳动关系存在从属特点，灵活用工在工资支付、社会保险等方面有不同特点和要求，而现行社会保障体系是按照实际存在劳动关系的传统就业形态来设计的，与多元化就业趋势相比存在脱节，这造成对灵活就业人员的权益保障不足，可能造成灵活就业人员的实际收入造成负面影响。</w:t>
      </w:r>
    </w:p>
    <w:p w14:paraId="5E8804AE"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第三，数字经济发展存在进一步增大行业间与地区间的发展差距造成收入群体和地区收入极化。首先，数字经济的技术利用会率先出现在部分行业，这就造成行业之间的收入分配差距会扩大。就地区而言，发达地区对于发展数字经济，特别是数字经济核心产业具有明显人力资本、金融资本和技术优势，容易产生数字经济产业的集群，地区之间的数字鸿沟就会造成地区之间经济发展差距。</w:t>
      </w:r>
    </w:p>
    <w:p w14:paraId="23287B21" w14:textId="77777777" w:rsidR="00602083" w:rsidRDefault="00E51994">
      <w:pPr>
        <w:spacing w:line="360" w:lineRule="auto"/>
        <w:ind w:firstLine="480"/>
        <w:outlineLvl w:val="3"/>
        <w:rPr>
          <w:rFonts w:eastAsia="宋体" w:cs="Times New Roman"/>
          <w:bCs/>
          <w:sz w:val="24"/>
          <w:szCs w:val="24"/>
        </w:rPr>
      </w:pPr>
      <w:r>
        <w:rPr>
          <w:rFonts w:eastAsia="宋体" w:cs="Times New Roman" w:hint="eastAsia"/>
          <w:bCs/>
          <w:sz w:val="24"/>
          <w:szCs w:val="24"/>
        </w:rPr>
        <w:t>（</w:t>
      </w:r>
      <w:r>
        <w:rPr>
          <w:rFonts w:eastAsia="宋体" w:cs="Times New Roman" w:hint="eastAsia"/>
          <w:bCs/>
          <w:sz w:val="24"/>
          <w:szCs w:val="24"/>
        </w:rPr>
        <w:t>2</w:t>
      </w:r>
      <w:r>
        <w:rPr>
          <w:rFonts w:eastAsia="宋体" w:cs="Times New Roman" w:hint="eastAsia"/>
          <w:bCs/>
          <w:sz w:val="24"/>
          <w:szCs w:val="24"/>
        </w:rPr>
        <w:t>）数字经济作为一种技术进步对收入分配的影响机制</w:t>
      </w:r>
    </w:p>
    <w:p w14:paraId="63085463"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的基本特征之一在于对数字技术的使用，包括人工智能、大数据、云计算等，不论是在产业数字化还是数字产业化过程中，这些技术都必不可少。因此，分析技术进步对收入分配的影响对理解数字经济对分配格局的影响有重要参考作用。</w:t>
      </w:r>
    </w:p>
    <w:p w14:paraId="519A4B08"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lastRenderedPageBreak/>
        <w:t>杨巨（</w:t>
      </w:r>
      <w:r>
        <w:rPr>
          <w:rFonts w:eastAsia="宋体" w:cs="Times New Roman" w:hint="eastAsia"/>
          <w:sz w:val="24"/>
          <w:szCs w:val="24"/>
        </w:rPr>
        <w:t>2012</w:t>
      </w:r>
      <w:r>
        <w:rPr>
          <w:rFonts w:eastAsia="宋体" w:cs="Times New Roman" w:hint="eastAsia"/>
          <w:sz w:val="24"/>
          <w:szCs w:val="24"/>
        </w:rPr>
        <w:t>）以中国省际为研究对象发现，中国初次收入分配与技术进步之间的关系呈现出倒</w:t>
      </w:r>
      <w:r>
        <w:rPr>
          <w:rFonts w:eastAsia="宋体" w:cs="Times New Roman" w:hint="eastAsia"/>
          <w:sz w:val="24"/>
          <w:szCs w:val="24"/>
        </w:rPr>
        <w:t>U</w:t>
      </w:r>
      <w:r>
        <w:rPr>
          <w:rFonts w:eastAsia="宋体" w:cs="Times New Roman" w:hint="eastAsia"/>
          <w:sz w:val="24"/>
          <w:szCs w:val="24"/>
        </w:rPr>
        <w:t>型关系，收入分配和技术进步之间存在一个非线性关系，高水平技术进步需要一个适当的收入差距和收入分配关系，对劳动或者对资本的过度保护对于技术进步来说都是不合适的，这意味着政府在建设创新型社会时需要在初次收入分配方面谨慎地权衡取舍，初次收入分配过于偏向资本或者过于偏向劳动都将对技术进步不利</w:t>
      </w:r>
      <w:r>
        <w:rPr>
          <w:rFonts w:eastAsia="宋体" w:cs="Times New Roman"/>
          <w:sz w:val="24"/>
          <w:szCs w:val="24"/>
          <w:vertAlign w:val="superscript"/>
        </w:rPr>
        <w:t>[</w:t>
      </w:r>
      <w:r>
        <w:rPr>
          <w:rFonts w:eastAsia="宋体" w:cs="Times New Roman"/>
          <w:sz w:val="24"/>
          <w:szCs w:val="24"/>
          <w:vertAlign w:val="superscript"/>
        </w:rPr>
        <w:footnoteReference w:id="16"/>
      </w:r>
      <w:r>
        <w:rPr>
          <w:rFonts w:eastAsia="宋体" w:cs="Times New Roman"/>
          <w:sz w:val="24"/>
          <w:szCs w:val="24"/>
          <w:vertAlign w:val="superscript"/>
        </w:rPr>
        <w:t>]</w:t>
      </w:r>
      <w:r>
        <w:rPr>
          <w:rFonts w:eastAsia="宋体" w:cs="Times New Roman" w:hint="eastAsia"/>
          <w:sz w:val="24"/>
          <w:szCs w:val="24"/>
        </w:rPr>
        <w:t>。</w:t>
      </w:r>
    </w:p>
    <w:p w14:paraId="273D4F6B"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陈怡和刘芸芸（</w:t>
      </w:r>
      <w:r>
        <w:rPr>
          <w:rFonts w:eastAsia="宋体" w:cs="Times New Roman" w:hint="eastAsia"/>
          <w:sz w:val="24"/>
          <w:szCs w:val="24"/>
        </w:rPr>
        <w:t>2019</w:t>
      </w:r>
      <w:r>
        <w:rPr>
          <w:rFonts w:eastAsia="宋体" w:cs="Times New Roman" w:hint="eastAsia"/>
          <w:sz w:val="24"/>
          <w:szCs w:val="24"/>
        </w:rPr>
        <w:t>）基于不同收入人群分析了技术创新对收入分配的影响，认为对大多数劳动者，技术创新对收入的回报显著为正，且对于高收入分位人群技术创新带来的收入增长效应更大，因此技术创新在增收的同时加剧了较高收入人群的收入分配不平等；技术创新的回报率在城乡之间存在显著差异，且技术创新对城镇的回报率始终高于农村，因而技术创新水平的提高可能推动城乡收入差距的扩大。基于以上结论，应制定相应的竞争政策，优化劳动力供给结构，完善分配制度，从而减缓收入向高收入阶层集聚，并降低收入差距</w:t>
      </w:r>
      <w:r>
        <w:rPr>
          <w:rFonts w:eastAsia="宋体" w:cs="Times New Roman"/>
          <w:sz w:val="24"/>
          <w:szCs w:val="24"/>
          <w:vertAlign w:val="superscript"/>
        </w:rPr>
        <w:t>[</w:t>
      </w:r>
      <w:r>
        <w:rPr>
          <w:rFonts w:eastAsia="宋体" w:cs="Times New Roman"/>
          <w:sz w:val="24"/>
          <w:szCs w:val="24"/>
          <w:vertAlign w:val="superscript"/>
        </w:rPr>
        <w:footnoteReference w:id="17"/>
      </w:r>
      <w:r>
        <w:rPr>
          <w:rFonts w:eastAsia="宋体" w:cs="Times New Roman"/>
          <w:sz w:val="24"/>
          <w:szCs w:val="24"/>
          <w:vertAlign w:val="superscript"/>
        </w:rPr>
        <w:t>]</w:t>
      </w:r>
      <w:r>
        <w:rPr>
          <w:rFonts w:eastAsia="宋体" w:cs="Times New Roman" w:hint="eastAsia"/>
          <w:sz w:val="24"/>
          <w:szCs w:val="24"/>
        </w:rPr>
        <w:t>。</w:t>
      </w:r>
    </w:p>
    <w:p w14:paraId="761C89B8"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同时，对于处于不同发展阶段的国家和经济体，可能产生不一致的影响。陈斌开和马燕来（</w:t>
      </w:r>
      <w:r>
        <w:rPr>
          <w:rFonts w:eastAsia="宋体" w:cs="Times New Roman" w:hint="eastAsia"/>
          <w:sz w:val="24"/>
          <w:szCs w:val="24"/>
        </w:rPr>
        <w:t>2020</w:t>
      </w:r>
      <w:r>
        <w:rPr>
          <w:rFonts w:eastAsia="宋体" w:cs="Times New Roman" w:hint="eastAsia"/>
          <w:sz w:val="24"/>
          <w:szCs w:val="24"/>
        </w:rPr>
        <w:t>）基于国际劳工组织数据，对数字经济快速发展时期世界主要发达国家和发展中国家就业结构进行描述性分析，发现技术进步对发达国家和发展中国家就业结构的影响存在明显差异：发达国家中等技能劳动力占比不断下降，发展中国家低技能劳动力占比快速降低，这是由于发达国家中等技能劳动力工资水平高、技能替代成本低造成中等技能劳动力更容易被技术替代，导致就业极化。发展中国家低技能劳动力成本快速上升、技能替代成本下降使得低技能劳动力更容易被技术替代，造成低技能劳动力占比快速下降，为应对数字经济对劳动力市场结构产生的冲击，政府应该基于不同发展阶段特点提供不同的公共就业培训机会，帮助劳动者掌握不易被技术替代的新技能，借助数字化技术完善社会保障体系，改善收入分配</w:t>
      </w:r>
      <w:r>
        <w:rPr>
          <w:rFonts w:eastAsia="宋体" w:cs="Times New Roman"/>
          <w:sz w:val="24"/>
          <w:szCs w:val="24"/>
          <w:vertAlign w:val="superscript"/>
        </w:rPr>
        <w:t>[</w:t>
      </w:r>
      <w:r>
        <w:rPr>
          <w:rFonts w:eastAsia="宋体" w:cs="Times New Roman"/>
          <w:sz w:val="24"/>
          <w:szCs w:val="24"/>
          <w:vertAlign w:val="superscript"/>
        </w:rPr>
        <w:footnoteReference w:id="18"/>
      </w:r>
      <w:r>
        <w:rPr>
          <w:rFonts w:eastAsia="宋体" w:cs="Times New Roman"/>
          <w:sz w:val="24"/>
          <w:szCs w:val="24"/>
          <w:vertAlign w:val="superscript"/>
        </w:rPr>
        <w:t>]</w:t>
      </w:r>
      <w:r>
        <w:rPr>
          <w:rFonts w:eastAsia="宋体" w:cs="Times New Roman" w:hint="eastAsia"/>
          <w:sz w:val="24"/>
          <w:szCs w:val="24"/>
        </w:rPr>
        <w:t>。</w:t>
      </w:r>
    </w:p>
    <w:p w14:paraId="3FDC4D7B" w14:textId="77777777" w:rsidR="00602083" w:rsidRDefault="00E51994">
      <w:pPr>
        <w:spacing w:line="360" w:lineRule="auto"/>
        <w:ind w:firstLine="480"/>
        <w:outlineLvl w:val="3"/>
        <w:rPr>
          <w:rFonts w:eastAsia="宋体" w:cs="Times New Roman"/>
          <w:bCs/>
          <w:sz w:val="24"/>
          <w:szCs w:val="24"/>
        </w:rPr>
      </w:pPr>
      <w:r>
        <w:rPr>
          <w:rFonts w:eastAsia="宋体" w:cs="Times New Roman" w:hint="eastAsia"/>
          <w:bCs/>
          <w:sz w:val="24"/>
          <w:szCs w:val="24"/>
        </w:rPr>
        <w:t>（</w:t>
      </w:r>
      <w:r>
        <w:rPr>
          <w:rFonts w:eastAsia="宋体" w:cs="Times New Roman" w:hint="eastAsia"/>
          <w:bCs/>
          <w:sz w:val="24"/>
          <w:szCs w:val="24"/>
        </w:rPr>
        <w:t>3</w:t>
      </w:r>
      <w:r>
        <w:rPr>
          <w:rFonts w:eastAsia="宋体" w:cs="Times New Roman" w:hint="eastAsia"/>
          <w:bCs/>
          <w:sz w:val="24"/>
          <w:szCs w:val="24"/>
        </w:rPr>
        <w:t>）数字经济发展引致的产业结构优化对收入分配的影响机制</w:t>
      </w:r>
    </w:p>
    <w:p w14:paraId="0195486C"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通过对数字经济特征的分析可见，数字经济的发展显著影响了产业结构，而产业</w:t>
      </w:r>
      <w:r>
        <w:rPr>
          <w:rFonts w:eastAsia="宋体" w:cs="Times New Roman" w:hint="eastAsia"/>
          <w:sz w:val="24"/>
          <w:szCs w:val="24"/>
        </w:rPr>
        <w:lastRenderedPageBreak/>
        <w:t>结构演变和优化对于收入分配又具有传导式的影响，这也是学术界予以关注的话题。</w:t>
      </w:r>
      <w:r>
        <w:rPr>
          <w:rFonts w:eastAsia="宋体" w:cs="Times New Roman" w:hint="eastAsia"/>
          <w:sz w:val="24"/>
          <w:szCs w:val="24"/>
        </w:rPr>
        <w:t>Robinson</w:t>
      </w:r>
      <w:r>
        <w:rPr>
          <w:rFonts w:eastAsia="宋体" w:cs="Times New Roman" w:hint="eastAsia"/>
          <w:sz w:val="24"/>
          <w:szCs w:val="24"/>
        </w:rPr>
        <w:t>（</w:t>
      </w:r>
      <w:r>
        <w:rPr>
          <w:rFonts w:eastAsia="宋体" w:cs="Times New Roman" w:hint="eastAsia"/>
          <w:sz w:val="24"/>
          <w:szCs w:val="24"/>
        </w:rPr>
        <w:t>1976</w:t>
      </w:r>
      <w:r>
        <w:rPr>
          <w:rFonts w:eastAsia="宋体" w:cs="Times New Roman" w:hint="eastAsia"/>
          <w:sz w:val="24"/>
          <w:szCs w:val="24"/>
        </w:rPr>
        <w:t>）较早提出，只要一个国家存在两个经济部门，而这两个部门存在收入差距，那么，劳动力在部门之间的流动，就必然会引起收入差距的变化</w:t>
      </w:r>
      <w:r>
        <w:rPr>
          <w:rFonts w:eastAsia="宋体" w:cs="Times New Roman"/>
          <w:sz w:val="24"/>
          <w:szCs w:val="24"/>
          <w:vertAlign w:val="superscript"/>
        </w:rPr>
        <w:t>[</w:t>
      </w:r>
      <w:r>
        <w:rPr>
          <w:rFonts w:eastAsia="宋体" w:cs="Times New Roman"/>
          <w:sz w:val="24"/>
          <w:szCs w:val="24"/>
          <w:vertAlign w:val="superscript"/>
        </w:rPr>
        <w:footnoteReference w:id="19"/>
      </w:r>
      <w:r>
        <w:rPr>
          <w:rFonts w:eastAsia="宋体" w:cs="Times New Roman"/>
          <w:sz w:val="24"/>
          <w:szCs w:val="24"/>
          <w:vertAlign w:val="superscript"/>
        </w:rPr>
        <w:t>]</w:t>
      </w:r>
      <w:r>
        <w:rPr>
          <w:rFonts w:eastAsia="宋体" w:cs="Times New Roman" w:hint="eastAsia"/>
          <w:sz w:val="24"/>
          <w:szCs w:val="24"/>
        </w:rPr>
        <w:t>。</w:t>
      </w:r>
    </w:p>
    <w:p w14:paraId="5707F774" w14:textId="77777777" w:rsidR="00602083" w:rsidRDefault="00E51994">
      <w:pPr>
        <w:spacing w:line="360" w:lineRule="auto"/>
        <w:ind w:firstLine="480"/>
        <w:rPr>
          <w:rFonts w:eastAsia="宋体" w:cs="Times New Roman"/>
          <w:sz w:val="24"/>
          <w:szCs w:val="30"/>
        </w:rPr>
      </w:pPr>
      <w:r>
        <w:rPr>
          <w:rFonts w:eastAsia="宋体" w:cs="Times New Roman" w:hint="eastAsia"/>
          <w:sz w:val="24"/>
          <w:szCs w:val="24"/>
        </w:rPr>
        <w:t>曹达华（</w:t>
      </w:r>
      <w:r>
        <w:rPr>
          <w:rFonts w:eastAsia="宋体" w:cs="Times New Roman" w:hint="eastAsia"/>
          <w:sz w:val="24"/>
          <w:szCs w:val="24"/>
        </w:rPr>
        <w:t>2016</w:t>
      </w:r>
      <w:r>
        <w:rPr>
          <w:rFonts w:eastAsia="宋体" w:cs="Times New Roman" w:hint="eastAsia"/>
          <w:sz w:val="24"/>
          <w:szCs w:val="24"/>
        </w:rPr>
        <w:t>）从行业、职业、受教育程度三个角度出发，分析了澳门回归祖国</w:t>
      </w:r>
      <w:r>
        <w:rPr>
          <w:rFonts w:eastAsia="宋体" w:cs="Times New Roman" w:hint="eastAsia"/>
          <w:sz w:val="24"/>
          <w:szCs w:val="24"/>
        </w:rPr>
        <w:t>20</w:t>
      </w:r>
      <w:r>
        <w:rPr>
          <w:rFonts w:eastAsia="宋体" w:cs="Times New Roman" w:hint="eastAsia"/>
          <w:sz w:val="24"/>
          <w:szCs w:val="24"/>
        </w:rPr>
        <w:t>年的经济结构变化对就业和收入分配的影响</w:t>
      </w:r>
      <w:r>
        <w:rPr>
          <w:rFonts w:eastAsia="宋体" w:cs="Times New Roman"/>
          <w:sz w:val="24"/>
          <w:szCs w:val="24"/>
          <w:vertAlign w:val="superscript"/>
        </w:rPr>
        <w:t>[</w:t>
      </w:r>
      <w:r>
        <w:rPr>
          <w:rFonts w:eastAsia="宋体" w:cs="Times New Roman"/>
          <w:sz w:val="24"/>
          <w:szCs w:val="24"/>
          <w:vertAlign w:val="superscript"/>
        </w:rPr>
        <w:footnoteReference w:id="20"/>
      </w:r>
      <w:r>
        <w:rPr>
          <w:rFonts w:eastAsia="宋体" w:cs="Times New Roman"/>
          <w:sz w:val="24"/>
          <w:szCs w:val="24"/>
          <w:vertAlign w:val="superscript"/>
        </w:rPr>
        <w:t>]</w:t>
      </w:r>
      <w:r>
        <w:rPr>
          <w:rFonts w:eastAsia="宋体" w:cs="Times New Roman" w:hint="eastAsia"/>
          <w:sz w:val="24"/>
          <w:szCs w:val="24"/>
        </w:rPr>
        <w:t>。宋锦（</w:t>
      </w:r>
      <w:r>
        <w:rPr>
          <w:rFonts w:eastAsia="宋体" w:cs="Times New Roman" w:hint="eastAsia"/>
          <w:sz w:val="24"/>
          <w:szCs w:val="24"/>
        </w:rPr>
        <w:t>2018</w:t>
      </w:r>
      <w:r>
        <w:rPr>
          <w:rFonts w:eastAsia="宋体" w:cs="Times New Roman" w:hint="eastAsia"/>
          <w:sz w:val="24"/>
          <w:szCs w:val="24"/>
        </w:rPr>
        <w:t>）通过对比中国非农就业的行业分布和收入增长</w:t>
      </w:r>
      <w:r>
        <w:rPr>
          <w:rFonts w:eastAsia="宋体" w:cs="Times New Roman" w:hint="eastAsia"/>
          <w:sz w:val="24"/>
          <w:szCs w:val="24"/>
        </w:rPr>
        <w:t>1995-2013</w:t>
      </w:r>
      <w:r>
        <w:rPr>
          <w:rFonts w:eastAsia="宋体" w:cs="Times New Roman" w:hint="eastAsia"/>
          <w:sz w:val="24"/>
          <w:szCs w:val="24"/>
        </w:rPr>
        <w:t>年期间四个时间点上的情况，用布朗分解方法分析了收入增长的原因，重点考察了行业分布变化所代表的产业结构调整对收入增长的贡献作用，研究认为，收入的增长机制会对收入分配结果产生巨大影响，其中行业收入的初始水平、行业间收入增速的差别和就业分布的变化是决定收入分配结果的关键因素</w:t>
      </w:r>
      <w:r>
        <w:rPr>
          <w:rFonts w:eastAsia="宋体" w:cs="Times New Roman"/>
          <w:sz w:val="24"/>
          <w:szCs w:val="24"/>
          <w:vertAlign w:val="superscript"/>
        </w:rPr>
        <w:t>[</w:t>
      </w:r>
      <w:r>
        <w:rPr>
          <w:rFonts w:eastAsia="宋体" w:cs="Times New Roman"/>
          <w:sz w:val="24"/>
          <w:szCs w:val="24"/>
          <w:vertAlign w:val="superscript"/>
        </w:rPr>
        <w:footnoteReference w:id="21"/>
      </w:r>
      <w:r>
        <w:rPr>
          <w:rFonts w:eastAsia="宋体" w:cs="Times New Roman"/>
          <w:sz w:val="24"/>
          <w:szCs w:val="24"/>
          <w:vertAlign w:val="superscript"/>
        </w:rPr>
        <w:t>]</w:t>
      </w:r>
      <w:r>
        <w:rPr>
          <w:rFonts w:eastAsia="宋体" w:cs="Times New Roman" w:hint="eastAsia"/>
          <w:sz w:val="24"/>
          <w:szCs w:val="24"/>
        </w:rPr>
        <w:t>。翁杰（</w:t>
      </w:r>
      <w:r>
        <w:rPr>
          <w:rFonts w:eastAsia="宋体" w:cs="Times New Roman" w:hint="eastAsia"/>
          <w:sz w:val="24"/>
          <w:szCs w:val="24"/>
        </w:rPr>
        <w:t>2016</w:t>
      </w:r>
      <w:r>
        <w:rPr>
          <w:rFonts w:eastAsia="宋体" w:cs="Times New Roman" w:hint="eastAsia"/>
          <w:sz w:val="24"/>
          <w:szCs w:val="24"/>
        </w:rPr>
        <w:t>）的研究对象是主要发达国家制造业部门的就业调整和收入分配变动的关系，研究表明，美国、英国等国家就业调整和劳动收入份额变动之间有较强的相关性，日本和德国无论就业人数的调整没有带来劳动收入份额的显著变化，背后的原因是劳动市场管制程度的差异</w:t>
      </w:r>
      <w:r>
        <w:rPr>
          <w:rFonts w:eastAsia="宋体" w:cs="Times New Roman"/>
          <w:sz w:val="24"/>
          <w:szCs w:val="24"/>
          <w:vertAlign w:val="superscript"/>
        </w:rPr>
        <w:t>[</w:t>
      </w:r>
      <w:r>
        <w:rPr>
          <w:rFonts w:eastAsia="宋体" w:cs="Times New Roman"/>
          <w:sz w:val="24"/>
          <w:szCs w:val="24"/>
          <w:vertAlign w:val="superscript"/>
        </w:rPr>
        <w:footnoteReference w:id="22"/>
      </w:r>
      <w:r>
        <w:rPr>
          <w:rFonts w:eastAsia="宋体" w:cs="Times New Roman"/>
          <w:sz w:val="24"/>
          <w:szCs w:val="24"/>
          <w:vertAlign w:val="superscript"/>
        </w:rPr>
        <w:t>]</w:t>
      </w:r>
      <w:r>
        <w:rPr>
          <w:rFonts w:eastAsia="宋体" w:cs="Times New Roman" w:hint="eastAsia"/>
          <w:sz w:val="24"/>
          <w:szCs w:val="24"/>
        </w:rPr>
        <w:t>。邓志国等（</w:t>
      </w:r>
      <w:r>
        <w:rPr>
          <w:rFonts w:eastAsia="宋体" w:cs="Times New Roman" w:hint="eastAsia"/>
          <w:sz w:val="24"/>
          <w:szCs w:val="24"/>
        </w:rPr>
        <w:t>2007</w:t>
      </w:r>
      <w:r>
        <w:rPr>
          <w:rFonts w:eastAsia="宋体" w:cs="Times New Roman" w:hint="eastAsia"/>
          <w:sz w:val="24"/>
          <w:szCs w:val="24"/>
        </w:rPr>
        <w:t>）关注了中国各部门就业人员劳动收入分配极其影响因素，研究提出要密切关注各部门就业人员劳动收入分配新情况和新动态，从部门最终需求角度，考虑最终需求变动对各部门就业人员劳动收入分配的波及影响，合理利用财政政策、货币政策对各部门最终需求进行适度的调节和控制；从部门供给角度，考虑产品价格变动对各部门就业人员劳动收入分配的波及影响，灵活运用市场经济的价格调控机制和税收及补贴杠杆调节各部门产品价格，优先考虑就业人员平均劳动收入较低部门的发展，促使各部门就业人员劳动收入分配更趋合理和有效，避免出现不合理或低效率的劳动收入分配状况</w:t>
      </w:r>
      <w:r>
        <w:rPr>
          <w:rFonts w:eastAsia="宋体" w:cs="Times New Roman"/>
          <w:sz w:val="24"/>
          <w:szCs w:val="24"/>
          <w:vertAlign w:val="superscript"/>
        </w:rPr>
        <w:t>[</w:t>
      </w:r>
      <w:r>
        <w:rPr>
          <w:rFonts w:eastAsia="宋体" w:cs="Times New Roman"/>
          <w:sz w:val="24"/>
          <w:szCs w:val="24"/>
          <w:vertAlign w:val="superscript"/>
        </w:rPr>
        <w:footnoteReference w:id="23"/>
      </w:r>
      <w:r>
        <w:rPr>
          <w:rFonts w:eastAsia="宋体" w:cs="Times New Roman"/>
          <w:sz w:val="24"/>
          <w:szCs w:val="24"/>
          <w:vertAlign w:val="superscript"/>
        </w:rPr>
        <w:t>]</w:t>
      </w:r>
      <w:r>
        <w:rPr>
          <w:rFonts w:eastAsia="宋体" w:cs="Times New Roman" w:hint="eastAsia"/>
          <w:sz w:val="24"/>
          <w:szCs w:val="24"/>
        </w:rPr>
        <w:t>。</w:t>
      </w:r>
    </w:p>
    <w:p w14:paraId="67ACFB06" w14:textId="77777777" w:rsidR="00602083" w:rsidRDefault="00E51994">
      <w:pPr>
        <w:pStyle w:val="4"/>
      </w:pPr>
      <w:bookmarkStart w:id="38" w:name="_Toc92734349"/>
      <w:bookmarkStart w:id="39" w:name="_Toc20342"/>
      <w:r>
        <w:t>2</w:t>
      </w:r>
      <w:r>
        <w:rPr>
          <w:rFonts w:hint="eastAsia"/>
        </w:rPr>
        <w:t>.</w:t>
      </w:r>
      <w:r>
        <w:t>数字经济对收入分配的结构性影响</w:t>
      </w:r>
      <w:bookmarkEnd w:id="38"/>
      <w:bookmarkEnd w:id="39"/>
    </w:p>
    <w:p w14:paraId="72271155" w14:textId="77777777" w:rsidR="00602083" w:rsidRDefault="00E51994">
      <w:pPr>
        <w:spacing w:line="360" w:lineRule="auto"/>
        <w:ind w:firstLine="480"/>
        <w:outlineLvl w:val="3"/>
        <w:rPr>
          <w:rFonts w:eastAsia="宋体" w:cs="Times New Roman"/>
          <w:bCs/>
          <w:sz w:val="24"/>
          <w:szCs w:val="24"/>
        </w:rPr>
      </w:pPr>
      <w:bookmarkStart w:id="40" w:name="_Toc25227"/>
      <w:bookmarkStart w:id="41" w:name="_Toc1812"/>
      <w:r>
        <w:rPr>
          <w:rFonts w:eastAsia="宋体" w:cs="Times New Roman"/>
          <w:bCs/>
          <w:sz w:val="24"/>
          <w:szCs w:val="24"/>
        </w:rPr>
        <w:t>（</w:t>
      </w:r>
      <w:r>
        <w:rPr>
          <w:rFonts w:eastAsia="宋体" w:cs="Times New Roman"/>
          <w:bCs/>
          <w:sz w:val="24"/>
          <w:szCs w:val="24"/>
        </w:rPr>
        <w:t>1</w:t>
      </w:r>
      <w:r>
        <w:rPr>
          <w:rFonts w:eastAsia="宋体" w:cs="Times New Roman"/>
          <w:bCs/>
          <w:sz w:val="24"/>
          <w:szCs w:val="24"/>
        </w:rPr>
        <w:t>）数字经济</w:t>
      </w:r>
      <w:r>
        <w:rPr>
          <w:rFonts w:eastAsia="宋体" w:cs="Times New Roman" w:hint="eastAsia"/>
          <w:bCs/>
          <w:sz w:val="24"/>
          <w:szCs w:val="24"/>
        </w:rPr>
        <w:t>对地区</w:t>
      </w:r>
      <w:r>
        <w:rPr>
          <w:rFonts w:eastAsia="宋体" w:cs="Times New Roman"/>
          <w:bCs/>
          <w:sz w:val="24"/>
          <w:szCs w:val="24"/>
        </w:rPr>
        <w:t>收入分配</w:t>
      </w:r>
      <w:r>
        <w:rPr>
          <w:rFonts w:eastAsia="宋体" w:cs="Times New Roman" w:hint="eastAsia"/>
          <w:bCs/>
          <w:sz w:val="24"/>
          <w:szCs w:val="24"/>
        </w:rPr>
        <w:t>的影响</w:t>
      </w:r>
    </w:p>
    <w:p w14:paraId="5FD0E941" w14:textId="77777777" w:rsidR="00602083" w:rsidRDefault="00E51994">
      <w:pPr>
        <w:spacing w:line="360" w:lineRule="auto"/>
        <w:ind w:firstLine="476"/>
        <w:rPr>
          <w:rFonts w:eastAsia="宋体" w:cs="Times New Roman"/>
          <w:spacing w:val="-1"/>
          <w:sz w:val="24"/>
          <w:szCs w:val="24"/>
        </w:rPr>
      </w:pPr>
      <w:r>
        <w:rPr>
          <w:rFonts w:eastAsia="宋体" w:cs="Times New Roman" w:hint="eastAsia"/>
          <w:spacing w:val="-1"/>
          <w:sz w:val="24"/>
          <w:szCs w:val="24"/>
        </w:rPr>
        <w:t>多数</w:t>
      </w:r>
      <w:r>
        <w:rPr>
          <w:rFonts w:eastAsia="宋体" w:cs="Times New Roman"/>
          <w:spacing w:val="-1"/>
          <w:sz w:val="24"/>
          <w:szCs w:val="24"/>
        </w:rPr>
        <w:t>研究认为，数字经济会扩大</w:t>
      </w:r>
      <w:r>
        <w:rPr>
          <w:rFonts w:eastAsia="宋体" w:cs="Times New Roman" w:hint="eastAsia"/>
          <w:spacing w:val="-1"/>
          <w:sz w:val="24"/>
          <w:szCs w:val="24"/>
        </w:rPr>
        <w:t>发达地区和欠发达地区之间的</w:t>
      </w:r>
      <w:r>
        <w:rPr>
          <w:rFonts w:eastAsia="宋体" w:cs="Times New Roman"/>
          <w:spacing w:val="-1"/>
          <w:sz w:val="24"/>
          <w:szCs w:val="24"/>
        </w:rPr>
        <w:t>收入分配差距。以</w:t>
      </w:r>
      <w:r>
        <w:rPr>
          <w:rFonts w:eastAsia="宋体" w:cs="Times New Roman"/>
          <w:spacing w:val="-1"/>
          <w:sz w:val="24"/>
          <w:szCs w:val="24"/>
        </w:rPr>
        <w:lastRenderedPageBreak/>
        <w:t>人工智能为例，</w:t>
      </w:r>
      <w:r>
        <w:rPr>
          <w:rFonts w:eastAsia="宋体" w:cs="Times New Roman"/>
          <w:spacing w:val="-1"/>
          <w:sz w:val="24"/>
          <w:szCs w:val="24"/>
        </w:rPr>
        <w:t>Berger</w:t>
      </w:r>
      <w:r>
        <w:rPr>
          <w:rFonts w:eastAsia="宋体" w:cs="Times New Roman" w:hint="eastAsia"/>
          <w:spacing w:val="-1"/>
          <w:sz w:val="24"/>
          <w:szCs w:val="24"/>
        </w:rPr>
        <w:t>和</w:t>
      </w:r>
      <w:r>
        <w:rPr>
          <w:rFonts w:eastAsia="宋体" w:cs="Times New Roman"/>
          <w:spacing w:val="-1"/>
          <w:sz w:val="24"/>
          <w:szCs w:val="24"/>
        </w:rPr>
        <w:t>Frey</w:t>
      </w:r>
      <w:r>
        <w:rPr>
          <w:rFonts w:eastAsia="宋体" w:cs="Times New Roman"/>
          <w:spacing w:val="-1"/>
          <w:sz w:val="24"/>
          <w:szCs w:val="24"/>
        </w:rPr>
        <w:t>（</w:t>
      </w:r>
      <w:r>
        <w:rPr>
          <w:rFonts w:eastAsia="宋体" w:cs="Times New Roman"/>
          <w:spacing w:val="-1"/>
          <w:sz w:val="24"/>
          <w:szCs w:val="24"/>
        </w:rPr>
        <w:t>2016</w:t>
      </w:r>
      <w:r>
        <w:rPr>
          <w:rFonts w:eastAsia="宋体" w:cs="Times New Roman"/>
          <w:spacing w:val="-1"/>
          <w:sz w:val="24"/>
          <w:szCs w:val="24"/>
        </w:rPr>
        <w:t>）指出，与自动化技术相关的新工作多数集中在高技能人才聚集的地区，这些地区往往并不是遭受新技术冲击的地区，因而自动化技术进步加剧了地区间的收入不平等性</w:t>
      </w:r>
      <w:r>
        <w:rPr>
          <w:rFonts w:eastAsia="宋体" w:cs="Times New Roman"/>
          <w:spacing w:val="-1"/>
          <w:sz w:val="24"/>
          <w:szCs w:val="24"/>
          <w:vertAlign w:val="superscript"/>
        </w:rPr>
        <w:t>[</w:t>
      </w:r>
      <w:r>
        <w:rPr>
          <w:rFonts w:eastAsia="宋体" w:cs="Times New Roman"/>
          <w:spacing w:val="-1"/>
          <w:sz w:val="24"/>
          <w:szCs w:val="24"/>
          <w:vertAlign w:val="superscript"/>
        </w:rPr>
        <w:footnoteReference w:id="24"/>
      </w:r>
      <w:r>
        <w:rPr>
          <w:rFonts w:eastAsia="宋体" w:cs="Times New Roman"/>
          <w:spacing w:val="-1"/>
          <w:sz w:val="24"/>
          <w:szCs w:val="24"/>
          <w:vertAlign w:val="superscript"/>
        </w:rPr>
        <w:t>]</w:t>
      </w:r>
      <w:r>
        <w:rPr>
          <w:rFonts w:eastAsia="宋体" w:cs="Times New Roman"/>
          <w:spacing w:val="-1"/>
          <w:sz w:val="24"/>
          <w:szCs w:val="24"/>
        </w:rPr>
        <w:t>。</w:t>
      </w:r>
      <w:r>
        <w:rPr>
          <w:rFonts w:eastAsia="宋体" w:cs="Times New Roman"/>
          <w:spacing w:val="-1"/>
          <w:sz w:val="24"/>
          <w:szCs w:val="24"/>
        </w:rPr>
        <w:t>Berg</w:t>
      </w:r>
      <w:r>
        <w:rPr>
          <w:rFonts w:eastAsia="宋体" w:cs="Times New Roman"/>
          <w:spacing w:val="-1"/>
          <w:sz w:val="24"/>
          <w:szCs w:val="24"/>
        </w:rPr>
        <w:t>（</w:t>
      </w:r>
      <w:r>
        <w:rPr>
          <w:rFonts w:eastAsia="宋体" w:cs="Times New Roman"/>
          <w:spacing w:val="-1"/>
          <w:sz w:val="24"/>
          <w:szCs w:val="24"/>
        </w:rPr>
        <w:t>2016</w:t>
      </w:r>
      <w:r>
        <w:rPr>
          <w:rFonts w:eastAsia="宋体" w:cs="Times New Roman"/>
          <w:spacing w:val="-1"/>
          <w:sz w:val="24"/>
          <w:szCs w:val="24"/>
        </w:rPr>
        <w:t>）认为，自动化技术进步会使劳动力替代成本降低，从而弱化了发展中国家的劳动力成本竞争优势，增加了发达国家将产业转移至本国附近自动化工厂的可能性，进而可能减缓低收入国家的经济发展水平，加大与发达国家的收入差距</w:t>
      </w:r>
      <w:r>
        <w:rPr>
          <w:rFonts w:eastAsia="宋体" w:cs="Times New Roman"/>
          <w:spacing w:val="-1"/>
          <w:sz w:val="24"/>
          <w:szCs w:val="24"/>
          <w:vertAlign w:val="superscript"/>
        </w:rPr>
        <w:t>[</w:t>
      </w:r>
      <w:r>
        <w:rPr>
          <w:rFonts w:eastAsia="宋体" w:cs="Times New Roman"/>
          <w:spacing w:val="-1"/>
          <w:sz w:val="24"/>
          <w:szCs w:val="24"/>
          <w:vertAlign w:val="superscript"/>
        </w:rPr>
        <w:footnoteReference w:id="25"/>
      </w:r>
      <w:r>
        <w:rPr>
          <w:rFonts w:eastAsia="宋体" w:cs="Times New Roman"/>
          <w:spacing w:val="-1"/>
          <w:sz w:val="24"/>
          <w:szCs w:val="24"/>
          <w:vertAlign w:val="superscript"/>
        </w:rPr>
        <w:t>]</w:t>
      </w:r>
      <w:r>
        <w:rPr>
          <w:rFonts w:eastAsia="宋体" w:cs="Times New Roman"/>
          <w:spacing w:val="-1"/>
          <w:sz w:val="24"/>
          <w:szCs w:val="24"/>
        </w:rPr>
        <w:t>。</w:t>
      </w:r>
      <w:r>
        <w:rPr>
          <w:rFonts w:eastAsia="宋体" w:cs="Times New Roman"/>
          <w:spacing w:val="-1"/>
          <w:sz w:val="24"/>
          <w:szCs w:val="24"/>
        </w:rPr>
        <w:t>Martens</w:t>
      </w:r>
      <w:r>
        <w:rPr>
          <w:rFonts w:eastAsia="宋体" w:cs="Times New Roman" w:hint="eastAsia"/>
          <w:spacing w:val="-1"/>
          <w:sz w:val="24"/>
          <w:szCs w:val="24"/>
        </w:rPr>
        <w:t>和</w:t>
      </w:r>
      <w:r>
        <w:rPr>
          <w:rFonts w:eastAsia="宋体" w:cs="Times New Roman"/>
          <w:spacing w:val="-1"/>
          <w:sz w:val="24"/>
          <w:szCs w:val="24"/>
        </w:rPr>
        <w:t>Tolan</w:t>
      </w:r>
      <w:r>
        <w:rPr>
          <w:rFonts w:eastAsia="宋体" w:cs="Times New Roman"/>
          <w:spacing w:val="-1"/>
          <w:sz w:val="24"/>
          <w:szCs w:val="24"/>
        </w:rPr>
        <w:t>（</w:t>
      </w:r>
      <w:r>
        <w:rPr>
          <w:rFonts w:eastAsia="宋体" w:cs="Times New Roman"/>
          <w:spacing w:val="-1"/>
          <w:sz w:val="24"/>
          <w:szCs w:val="24"/>
        </w:rPr>
        <w:t>2018</w:t>
      </w:r>
      <w:r>
        <w:rPr>
          <w:rFonts w:eastAsia="宋体" w:cs="Times New Roman"/>
          <w:spacing w:val="-1"/>
          <w:sz w:val="24"/>
          <w:szCs w:val="24"/>
        </w:rPr>
        <w:t>）提出，不同地区引入人工智能的速度迥异，劳动力适应职业变化的能力也并不相同，因此，地区间收入水平往往也存在差异。针对技术进步引发的收入不平等现象，政府部门应根据该地实际情况进行政策调整</w:t>
      </w:r>
      <w:r>
        <w:rPr>
          <w:rFonts w:eastAsia="宋体" w:cs="Times New Roman"/>
          <w:spacing w:val="-1"/>
          <w:sz w:val="24"/>
          <w:szCs w:val="24"/>
          <w:vertAlign w:val="superscript"/>
        </w:rPr>
        <w:t>[</w:t>
      </w:r>
      <w:r>
        <w:rPr>
          <w:rFonts w:eastAsia="宋体" w:cs="Times New Roman"/>
          <w:spacing w:val="-1"/>
          <w:sz w:val="24"/>
          <w:szCs w:val="24"/>
          <w:vertAlign w:val="superscript"/>
        </w:rPr>
        <w:footnoteReference w:id="26"/>
      </w:r>
      <w:r>
        <w:rPr>
          <w:rFonts w:eastAsia="宋体" w:cs="Times New Roman"/>
          <w:spacing w:val="-1"/>
          <w:sz w:val="24"/>
          <w:szCs w:val="24"/>
          <w:vertAlign w:val="superscript"/>
        </w:rPr>
        <w:t>]</w:t>
      </w:r>
      <w:r>
        <w:rPr>
          <w:rFonts w:eastAsia="宋体" w:cs="Times New Roman"/>
          <w:spacing w:val="-1"/>
          <w:sz w:val="24"/>
          <w:szCs w:val="24"/>
        </w:rPr>
        <w:t>。</w:t>
      </w:r>
      <w:r>
        <w:rPr>
          <w:rFonts w:eastAsia="宋体" w:cs="Times New Roman"/>
          <w:spacing w:val="-1"/>
          <w:sz w:val="24"/>
          <w:szCs w:val="24"/>
        </w:rPr>
        <w:t>Korinek</w:t>
      </w:r>
      <w:r>
        <w:rPr>
          <w:rFonts w:eastAsia="宋体" w:cs="Times New Roman" w:hint="eastAsia"/>
          <w:spacing w:val="-1"/>
          <w:sz w:val="24"/>
          <w:szCs w:val="24"/>
        </w:rPr>
        <w:t>和</w:t>
      </w:r>
      <w:r>
        <w:rPr>
          <w:rFonts w:eastAsia="宋体" w:cs="Times New Roman"/>
          <w:spacing w:val="-1"/>
          <w:sz w:val="24"/>
          <w:szCs w:val="24"/>
        </w:rPr>
        <w:t>Stiglitz</w:t>
      </w:r>
      <w:r>
        <w:rPr>
          <w:rFonts w:eastAsia="宋体" w:cs="Times New Roman"/>
          <w:spacing w:val="-1"/>
          <w:sz w:val="24"/>
          <w:szCs w:val="24"/>
        </w:rPr>
        <w:t>（</w:t>
      </w:r>
      <w:r>
        <w:rPr>
          <w:rFonts w:eastAsia="宋体" w:cs="Times New Roman"/>
          <w:spacing w:val="-1"/>
          <w:sz w:val="24"/>
          <w:szCs w:val="24"/>
        </w:rPr>
        <w:t>2021</w:t>
      </w:r>
      <w:r>
        <w:rPr>
          <w:rFonts w:eastAsia="宋体" w:cs="Times New Roman"/>
          <w:spacing w:val="-1"/>
          <w:sz w:val="24"/>
          <w:szCs w:val="24"/>
        </w:rPr>
        <w:t>）认为发展中国家内部不平等程度高于发达国家，人工智能可能会扩大不平等差距，而发展中国家往往难以应对这一问题</w:t>
      </w:r>
      <w:r>
        <w:rPr>
          <w:rFonts w:eastAsia="宋体" w:cs="Times New Roman"/>
          <w:spacing w:val="-1"/>
          <w:sz w:val="24"/>
          <w:szCs w:val="24"/>
          <w:vertAlign w:val="superscript"/>
        </w:rPr>
        <w:t>[</w:t>
      </w:r>
      <w:r>
        <w:rPr>
          <w:rFonts w:eastAsia="宋体" w:cs="Times New Roman"/>
          <w:spacing w:val="-1"/>
          <w:sz w:val="24"/>
          <w:szCs w:val="24"/>
          <w:vertAlign w:val="superscript"/>
        </w:rPr>
        <w:footnoteReference w:id="27"/>
      </w:r>
      <w:r>
        <w:rPr>
          <w:rFonts w:eastAsia="宋体" w:cs="Times New Roman"/>
          <w:spacing w:val="-1"/>
          <w:sz w:val="24"/>
          <w:szCs w:val="24"/>
          <w:vertAlign w:val="superscript"/>
        </w:rPr>
        <w:t>]</w:t>
      </w:r>
      <w:r>
        <w:rPr>
          <w:rFonts w:eastAsia="宋体" w:cs="Times New Roman"/>
          <w:spacing w:val="-1"/>
          <w:sz w:val="24"/>
          <w:szCs w:val="24"/>
        </w:rPr>
        <w:t>。</w:t>
      </w:r>
    </w:p>
    <w:p w14:paraId="6C915AB9" w14:textId="77777777" w:rsidR="00602083" w:rsidRDefault="00E51994">
      <w:pPr>
        <w:spacing w:line="360" w:lineRule="auto"/>
        <w:ind w:firstLine="480"/>
        <w:outlineLvl w:val="3"/>
        <w:rPr>
          <w:rFonts w:eastAsia="宋体" w:cs="Times New Roman"/>
          <w:bCs/>
          <w:sz w:val="24"/>
          <w:szCs w:val="24"/>
        </w:rPr>
      </w:pPr>
      <w:r>
        <w:rPr>
          <w:rFonts w:eastAsia="宋体" w:cs="Times New Roman" w:hint="eastAsia"/>
          <w:bCs/>
          <w:sz w:val="24"/>
          <w:szCs w:val="24"/>
        </w:rPr>
        <w:t>（</w:t>
      </w:r>
      <w:r>
        <w:rPr>
          <w:rFonts w:eastAsia="宋体" w:cs="Times New Roman" w:hint="eastAsia"/>
          <w:bCs/>
          <w:sz w:val="24"/>
          <w:szCs w:val="24"/>
        </w:rPr>
        <w:t>2</w:t>
      </w:r>
      <w:r>
        <w:rPr>
          <w:rFonts w:eastAsia="宋体" w:cs="Times New Roman" w:hint="eastAsia"/>
          <w:bCs/>
          <w:sz w:val="24"/>
          <w:szCs w:val="24"/>
        </w:rPr>
        <w:t>）</w:t>
      </w:r>
      <w:r>
        <w:rPr>
          <w:rFonts w:eastAsia="宋体" w:cs="Times New Roman"/>
          <w:bCs/>
          <w:sz w:val="24"/>
          <w:szCs w:val="24"/>
        </w:rPr>
        <w:t>数字经济对产业收入分配的影响</w:t>
      </w:r>
    </w:p>
    <w:p w14:paraId="1F524B91"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多数</w:t>
      </w:r>
      <w:r>
        <w:rPr>
          <w:rFonts w:eastAsia="宋体" w:cs="Times New Roman"/>
          <w:sz w:val="24"/>
          <w:szCs w:val="24"/>
        </w:rPr>
        <w:t>研究认为，数字经济对不同产业部门收入分配影响差异性较大。一方面，数字经济对不同行业工资水平的影响。</w:t>
      </w:r>
      <w:r>
        <w:rPr>
          <w:rFonts w:eastAsia="宋体" w:cs="Times New Roman"/>
          <w:sz w:val="24"/>
          <w:szCs w:val="24"/>
        </w:rPr>
        <w:t>Autor</w:t>
      </w:r>
      <w:r>
        <w:rPr>
          <w:rFonts w:eastAsia="宋体" w:cs="Times New Roman" w:hint="eastAsia"/>
          <w:sz w:val="24"/>
          <w:szCs w:val="24"/>
        </w:rPr>
        <w:t>和</w:t>
      </w:r>
      <w:r>
        <w:rPr>
          <w:rFonts w:eastAsia="宋体" w:cs="Times New Roman"/>
          <w:sz w:val="24"/>
          <w:szCs w:val="24"/>
        </w:rPr>
        <w:t>Dorn</w:t>
      </w:r>
      <w:r>
        <w:rPr>
          <w:rFonts w:eastAsia="宋体" w:cs="Times New Roman"/>
          <w:sz w:val="24"/>
          <w:szCs w:val="24"/>
        </w:rPr>
        <w:t>（</w:t>
      </w:r>
      <w:r>
        <w:rPr>
          <w:rFonts w:eastAsia="宋体" w:cs="Times New Roman"/>
          <w:sz w:val="24"/>
          <w:szCs w:val="24"/>
        </w:rPr>
        <w:t>2013</w:t>
      </w:r>
      <w:r>
        <w:rPr>
          <w:rFonts w:eastAsia="宋体" w:cs="Times New Roman"/>
          <w:sz w:val="24"/>
          <w:szCs w:val="24"/>
        </w:rPr>
        <w:t>）</w:t>
      </w:r>
      <w:r>
        <w:rPr>
          <w:rFonts w:eastAsia="宋体" w:cs="Times New Roman" w:hint="eastAsia"/>
          <w:sz w:val="24"/>
          <w:szCs w:val="24"/>
        </w:rPr>
        <w:t>的</w:t>
      </w:r>
      <w:r>
        <w:rPr>
          <w:rFonts w:eastAsia="宋体" w:cs="Times New Roman"/>
          <w:sz w:val="24"/>
          <w:szCs w:val="24"/>
        </w:rPr>
        <w:t>研究指出，美国等发达国家工资水平的两极分化与服务业工资的快速增长有关</w:t>
      </w:r>
      <w:r>
        <w:rPr>
          <w:rFonts w:eastAsia="宋体" w:cs="Times New Roman"/>
          <w:sz w:val="24"/>
          <w:szCs w:val="24"/>
          <w:vertAlign w:val="superscript"/>
        </w:rPr>
        <w:t>[</w:t>
      </w:r>
      <w:r>
        <w:rPr>
          <w:rFonts w:eastAsia="宋体" w:cs="Times New Roman"/>
          <w:sz w:val="24"/>
          <w:szCs w:val="24"/>
          <w:vertAlign w:val="superscript"/>
        </w:rPr>
        <w:footnoteReference w:id="28"/>
      </w:r>
      <w:r>
        <w:rPr>
          <w:rFonts w:eastAsia="宋体" w:cs="Times New Roman"/>
          <w:sz w:val="24"/>
          <w:szCs w:val="24"/>
          <w:vertAlign w:val="superscript"/>
        </w:rPr>
        <w:t>]</w:t>
      </w:r>
      <w:r>
        <w:rPr>
          <w:rFonts w:eastAsia="宋体" w:cs="Times New Roman"/>
          <w:sz w:val="24"/>
          <w:szCs w:val="24"/>
        </w:rPr>
        <w:t>。相较于其他行业，服务业工资上涨速度更快，究其原因在于服务业就业比例的迅速提升。伴随着就业率上升，服务行业的实际工资水平也大幅提升。</w:t>
      </w:r>
    </w:p>
    <w:p w14:paraId="3329C3EE"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从分配的角度来看，人工智能对于劳动收入份额会产生负面影响，这是由于人工智能</w:t>
      </w:r>
      <w:r>
        <w:rPr>
          <w:rFonts w:eastAsia="宋体" w:cs="Times New Roman"/>
          <w:sz w:val="24"/>
          <w:szCs w:val="24"/>
        </w:rPr>
        <w:t>发展会更多地提高资本要素的回报份额，</w:t>
      </w:r>
      <w:r>
        <w:rPr>
          <w:rFonts w:eastAsia="宋体" w:cs="Times New Roman" w:hint="eastAsia"/>
          <w:sz w:val="24"/>
          <w:szCs w:val="24"/>
        </w:rPr>
        <w:t>造成</w:t>
      </w:r>
      <w:r>
        <w:rPr>
          <w:rFonts w:eastAsia="宋体" w:cs="Times New Roman"/>
          <w:sz w:val="24"/>
          <w:szCs w:val="24"/>
        </w:rPr>
        <w:t>劳动收入份额的</w:t>
      </w:r>
      <w:r>
        <w:rPr>
          <w:rFonts w:eastAsia="宋体" w:cs="Times New Roman" w:hint="eastAsia"/>
          <w:sz w:val="24"/>
          <w:szCs w:val="24"/>
        </w:rPr>
        <w:t>减少</w:t>
      </w:r>
      <w:r>
        <w:rPr>
          <w:rFonts w:eastAsia="宋体" w:cs="Times New Roman"/>
          <w:sz w:val="24"/>
          <w:szCs w:val="24"/>
        </w:rPr>
        <w:t>，进而会扩大资本所有者和劳动者的收入差距。</w:t>
      </w:r>
      <w:r>
        <w:rPr>
          <w:rFonts w:eastAsia="宋体" w:cs="Times New Roman"/>
          <w:sz w:val="24"/>
          <w:szCs w:val="24"/>
        </w:rPr>
        <w:t>Agrawal et al</w:t>
      </w:r>
      <w:r>
        <w:rPr>
          <w:rFonts w:eastAsia="宋体" w:cs="Times New Roman"/>
          <w:sz w:val="24"/>
          <w:szCs w:val="24"/>
        </w:rPr>
        <w:t>（</w:t>
      </w:r>
      <w:r>
        <w:rPr>
          <w:rFonts w:eastAsia="宋体" w:cs="Times New Roman"/>
          <w:sz w:val="24"/>
          <w:szCs w:val="24"/>
        </w:rPr>
        <w:t>2018</w:t>
      </w:r>
      <w:r>
        <w:rPr>
          <w:rFonts w:eastAsia="宋体" w:cs="Times New Roman"/>
          <w:sz w:val="24"/>
          <w:szCs w:val="24"/>
        </w:rPr>
        <w:t>）的研究也表明，未来如果人工智能作为一种新的、有效的资本形式被运用于生产领域，那么随着人工智能数量的增加，劳动力工作岗位将减少，劳动收入份额将会降低</w:t>
      </w:r>
      <w:r>
        <w:rPr>
          <w:rFonts w:eastAsia="宋体" w:cs="Times New Roman"/>
          <w:sz w:val="24"/>
          <w:szCs w:val="24"/>
          <w:vertAlign w:val="superscript"/>
        </w:rPr>
        <w:t>[</w:t>
      </w:r>
      <w:r>
        <w:rPr>
          <w:rFonts w:eastAsia="宋体" w:cs="Times New Roman"/>
          <w:sz w:val="24"/>
          <w:szCs w:val="24"/>
          <w:vertAlign w:val="superscript"/>
        </w:rPr>
        <w:footnoteReference w:id="29"/>
      </w:r>
      <w:r>
        <w:rPr>
          <w:rFonts w:eastAsia="宋体" w:cs="Times New Roman"/>
          <w:sz w:val="24"/>
          <w:szCs w:val="24"/>
          <w:vertAlign w:val="superscript"/>
        </w:rPr>
        <w:t>]</w:t>
      </w:r>
      <w:r>
        <w:rPr>
          <w:rFonts w:eastAsia="宋体" w:cs="Times New Roman"/>
          <w:sz w:val="24"/>
          <w:szCs w:val="24"/>
        </w:rPr>
        <w:t>。</w:t>
      </w:r>
      <w:r>
        <w:rPr>
          <w:rFonts w:eastAsia="宋体" w:cs="Times New Roman"/>
          <w:sz w:val="24"/>
          <w:szCs w:val="24"/>
        </w:rPr>
        <w:t>Caselli</w:t>
      </w:r>
      <w:r>
        <w:rPr>
          <w:rFonts w:eastAsia="宋体" w:cs="Times New Roman" w:hint="eastAsia"/>
          <w:sz w:val="24"/>
          <w:szCs w:val="24"/>
        </w:rPr>
        <w:t>和</w:t>
      </w:r>
      <w:r>
        <w:rPr>
          <w:rFonts w:eastAsia="宋体" w:cs="Times New Roman"/>
          <w:sz w:val="24"/>
          <w:szCs w:val="24"/>
        </w:rPr>
        <w:t>Manning</w:t>
      </w:r>
      <w:r>
        <w:rPr>
          <w:rFonts w:eastAsia="宋体" w:cs="Times New Roman"/>
          <w:sz w:val="24"/>
          <w:szCs w:val="24"/>
        </w:rPr>
        <w:t>（</w:t>
      </w:r>
      <w:r>
        <w:rPr>
          <w:rFonts w:eastAsia="宋体" w:cs="Times New Roman"/>
          <w:sz w:val="24"/>
          <w:szCs w:val="24"/>
        </w:rPr>
        <w:t>2017</w:t>
      </w:r>
      <w:r>
        <w:rPr>
          <w:rFonts w:eastAsia="宋体" w:cs="Times New Roman"/>
          <w:sz w:val="24"/>
          <w:szCs w:val="24"/>
        </w:rPr>
        <w:t>）</w:t>
      </w:r>
      <w:r>
        <w:rPr>
          <w:rFonts w:eastAsia="宋体" w:cs="Times New Roman"/>
          <w:sz w:val="24"/>
          <w:szCs w:val="24"/>
        </w:rPr>
        <w:lastRenderedPageBreak/>
        <w:t>认为从长期来看，劳动力工资水平</w:t>
      </w:r>
      <w:r>
        <w:rPr>
          <w:rFonts w:eastAsia="宋体" w:cs="Times New Roman" w:hint="eastAsia"/>
          <w:sz w:val="24"/>
          <w:szCs w:val="24"/>
        </w:rPr>
        <w:t>虽然</w:t>
      </w:r>
      <w:r>
        <w:rPr>
          <w:rFonts w:eastAsia="宋体" w:cs="Times New Roman"/>
          <w:sz w:val="24"/>
          <w:szCs w:val="24"/>
        </w:rPr>
        <w:t>会上升，但相对于资本所有者而言，劳动收入份额可能会下降。尽管数字经济的长期发展可能会提高劳动力的平均工资水平，但相比于机器资本，其上升幅度较小，在国民收入中的占比仍会降低</w:t>
      </w:r>
      <w:r>
        <w:rPr>
          <w:rFonts w:eastAsia="宋体" w:cs="Times New Roman"/>
          <w:sz w:val="24"/>
          <w:szCs w:val="24"/>
          <w:vertAlign w:val="superscript"/>
        </w:rPr>
        <w:t>[</w:t>
      </w:r>
      <w:r>
        <w:rPr>
          <w:rFonts w:eastAsia="宋体" w:cs="Times New Roman"/>
          <w:sz w:val="24"/>
          <w:szCs w:val="24"/>
          <w:vertAlign w:val="superscript"/>
        </w:rPr>
        <w:footnoteReference w:id="30"/>
      </w:r>
      <w:r>
        <w:rPr>
          <w:rFonts w:eastAsia="宋体" w:cs="Times New Roman"/>
          <w:sz w:val="24"/>
          <w:szCs w:val="24"/>
          <w:vertAlign w:val="superscript"/>
        </w:rPr>
        <w:t>]</w:t>
      </w:r>
      <w:r>
        <w:rPr>
          <w:rFonts w:eastAsia="宋体" w:cs="Times New Roman"/>
          <w:sz w:val="24"/>
          <w:szCs w:val="24"/>
        </w:rPr>
        <w:t>。总体来看，数字经济发展使得国民收入更多地流向了数字化领域的资本所有者，导致劳动收入份额下降，进而加剧收入不平等。</w:t>
      </w:r>
    </w:p>
    <w:p w14:paraId="644E5B86" w14:textId="77777777" w:rsidR="00602083" w:rsidRDefault="00E51994">
      <w:pPr>
        <w:spacing w:line="360" w:lineRule="auto"/>
        <w:ind w:firstLine="480"/>
        <w:rPr>
          <w:rFonts w:eastAsia="宋体" w:cs="Times New Roman"/>
          <w:sz w:val="24"/>
          <w:szCs w:val="24"/>
        </w:rPr>
      </w:pPr>
      <w:r>
        <w:rPr>
          <w:rFonts w:eastAsia="宋体" w:cs="Times New Roman"/>
          <w:sz w:val="24"/>
          <w:szCs w:val="24"/>
        </w:rPr>
        <w:t>另一方面，从劳动收入份额来看，</w:t>
      </w:r>
      <w:r>
        <w:rPr>
          <w:rFonts w:eastAsia="宋体" w:cs="Times New Roman" w:hint="eastAsia"/>
          <w:sz w:val="24"/>
          <w:szCs w:val="24"/>
        </w:rPr>
        <w:t>以人工智能为代表的数字经济对不同部门的劳动力收入份额存在不同程度的影响。</w:t>
      </w:r>
      <w:r>
        <w:rPr>
          <w:rFonts w:eastAsia="宋体" w:cs="Times New Roman"/>
          <w:sz w:val="24"/>
          <w:szCs w:val="24"/>
        </w:rPr>
        <w:t>Autor</w:t>
      </w:r>
      <w:r>
        <w:rPr>
          <w:rFonts w:eastAsia="宋体" w:cs="Times New Roman" w:hint="eastAsia"/>
          <w:sz w:val="24"/>
          <w:szCs w:val="24"/>
        </w:rPr>
        <w:t>和</w:t>
      </w:r>
      <w:r>
        <w:rPr>
          <w:rFonts w:eastAsia="宋体" w:cs="Times New Roman"/>
          <w:sz w:val="24"/>
          <w:szCs w:val="24"/>
        </w:rPr>
        <w:t>Salomons</w:t>
      </w:r>
      <w:r>
        <w:rPr>
          <w:rFonts w:eastAsia="宋体" w:cs="Times New Roman"/>
          <w:sz w:val="24"/>
          <w:szCs w:val="24"/>
        </w:rPr>
        <w:t>（</w:t>
      </w:r>
      <w:r>
        <w:rPr>
          <w:rFonts w:eastAsia="宋体" w:cs="Times New Roman"/>
          <w:sz w:val="24"/>
          <w:szCs w:val="24"/>
        </w:rPr>
        <w:t>2018</w:t>
      </w:r>
      <w:r>
        <w:rPr>
          <w:rFonts w:eastAsia="宋体" w:cs="Times New Roman"/>
          <w:sz w:val="24"/>
          <w:szCs w:val="24"/>
        </w:rPr>
        <w:t>）认为自动化技术进步会降低劳动力的收入份额，且对重工业部门劳动力的影响最为严重</w:t>
      </w:r>
      <w:r>
        <w:rPr>
          <w:rFonts w:eastAsia="宋体" w:cs="Times New Roman"/>
          <w:sz w:val="24"/>
          <w:szCs w:val="24"/>
          <w:vertAlign w:val="superscript"/>
        </w:rPr>
        <w:t>[</w:t>
      </w:r>
      <w:r>
        <w:rPr>
          <w:rFonts w:eastAsia="宋体" w:cs="Times New Roman"/>
          <w:sz w:val="24"/>
          <w:szCs w:val="24"/>
          <w:vertAlign w:val="superscript"/>
        </w:rPr>
        <w:footnoteReference w:id="31"/>
      </w:r>
      <w:r>
        <w:rPr>
          <w:rFonts w:eastAsia="宋体" w:cs="Times New Roman"/>
          <w:sz w:val="24"/>
          <w:szCs w:val="24"/>
          <w:vertAlign w:val="superscript"/>
        </w:rPr>
        <w:t>]</w:t>
      </w:r>
      <w:r>
        <w:rPr>
          <w:rFonts w:eastAsia="宋体" w:cs="Times New Roman"/>
          <w:sz w:val="24"/>
          <w:szCs w:val="24"/>
        </w:rPr>
        <w:t>。进一步研究发现，从</w:t>
      </w:r>
      <w:r>
        <w:rPr>
          <w:rFonts w:eastAsia="宋体" w:cs="Times New Roman"/>
          <w:sz w:val="24"/>
          <w:szCs w:val="24"/>
        </w:rPr>
        <w:t>20</w:t>
      </w:r>
      <w:r>
        <w:rPr>
          <w:rFonts w:eastAsia="宋体" w:cs="Times New Roman"/>
          <w:sz w:val="24"/>
          <w:szCs w:val="24"/>
        </w:rPr>
        <w:t>世纪</w:t>
      </w:r>
      <w:r>
        <w:rPr>
          <w:rFonts w:eastAsia="宋体" w:cs="Times New Roman"/>
          <w:sz w:val="24"/>
          <w:szCs w:val="24"/>
        </w:rPr>
        <w:t>80</w:t>
      </w:r>
      <w:r>
        <w:rPr>
          <w:rFonts w:eastAsia="宋体" w:cs="Times New Roman"/>
          <w:sz w:val="24"/>
          <w:szCs w:val="24"/>
        </w:rPr>
        <w:t>年代到</w:t>
      </w:r>
      <w:r>
        <w:rPr>
          <w:rFonts w:eastAsia="宋体" w:cs="Times New Roman"/>
          <w:sz w:val="24"/>
          <w:szCs w:val="24"/>
        </w:rPr>
        <w:t>21</w:t>
      </w:r>
      <w:r>
        <w:rPr>
          <w:rFonts w:eastAsia="宋体" w:cs="Times New Roman"/>
          <w:sz w:val="24"/>
          <w:szCs w:val="24"/>
        </w:rPr>
        <w:t>世纪初，劳动收入份额持续下降，制造业、采矿业和建筑业等行业的下降趋势最为明显</w:t>
      </w:r>
      <w:r>
        <w:rPr>
          <w:rFonts w:eastAsia="宋体" w:cs="Times New Roman"/>
          <w:sz w:val="24"/>
          <w:szCs w:val="24"/>
          <w:vertAlign w:val="superscript"/>
        </w:rPr>
        <w:t>[</w:t>
      </w:r>
      <w:r>
        <w:rPr>
          <w:rFonts w:eastAsia="宋体" w:cs="Times New Roman"/>
          <w:sz w:val="24"/>
          <w:szCs w:val="24"/>
          <w:vertAlign w:val="superscript"/>
        </w:rPr>
        <w:footnoteReference w:id="32"/>
      </w:r>
      <w:r>
        <w:rPr>
          <w:rFonts w:eastAsia="宋体" w:cs="Times New Roman"/>
          <w:sz w:val="24"/>
          <w:szCs w:val="24"/>
          <w:vertAlign w:val="superscript"/>
        </w:rPr>
        <w:t>]</w:t>
      </w:r>
      <w:r>
        <w:rPr>
          <w:rFonts w:eastAsia="宋体" w:cs="Times New Roman"/>
          <w:sz w:val="24"/>
          <w:szCs w:val="24"/>
        </w:rPr>
        <w:t>。</w:t>
      </w:r>
      <w:r>
        <w:rPr>
          <w:rFonts w:eastAsia="宋体" w:cs="Times New Roman"/>
          <w:sz w:val="24"/>
          <w:szCs w:val="24"/>
        </w:rPr>
        <w:t>Korinek</w:t>
      </w:r>
      <w:r>
        <w:rPr>
          <w:rFonts w:eastAsia="宋体" w:cs="Times New Roman" w:hint="eastAsia"/>
          <w:sz w:val="24"/>
          <w:szCs w:val="24"/>
        </w:rPr>
        <w:t>和</w:t>
      </w:r>
      <w:r>
        <w:rPr>
          <w:rFonts w:eastAsia="宋体" w:cs="Times New Roman"/>
          <w:sz w:val="24"/>
          <w:szCs w:val="24"/>
        </w:rPr>
        <w:t>Stiglitz</w:t>
      </w:r>
      <w:r>
        <w:rPr>
          <w:rFonts w:eastAsia="宋体" w:cs="Times New Roman"/>
          <w:sz w:val="24"/>
          <w:szCs w:val="24"/>
        </w:rPr>
        <w:t>（</w:t>
      </w:r>
      <w:r>
        <w:rPr>
          <w:rFonts w:eastAsia="宋体" w:cs="Times New Roman"/>
          <w:sz w:val="24"/>
          <w:szCs w:val="24"/>
        </w:rPr>
        <w:t>2017</w:t>
      </w:r>
      <w:r>
        <w:rPr>
          <w:rFonts w:eastAsia="宋体" w:cs="Times New Roman"/>
          <w:sz w:val="24"/>
          <w:szCs w:val="24"/>
        </w:rPr>
        <w:t>）指出，人工智能应用可能较多地集中在制造业部门，经济发展逐渐向服务业部门转移，在这一过程中，如果服务业能够提供更多的就业机会和更好的就业环境，并提高就业工人的工资水平，那么这将有助于改善市场收入份额分布下降的现象</w:t>
      </w:r>
      <w:r>
        <w:rPr>
          <w:rFonts w:eastAsia="宋体" w:cs="Times New Roman"/>
          <w:sz w:val="24"/>
          <w:szCs w:val="24"/>
          <w:vertAlign w:val="superscript"/>
        </w:rPr>
        <w:t>[</w:t>
      </w:r>
      <w:r>
        <w:rPr>
          <w:rFonts w:eastAsia="宋体" w:cs="Times New Roman"/>
          <w:sz w:val="24"/>
          <w:szCs w:val="24"/>
          <w:vertAlign w:val="superscript"/>
        </w:rPr>
        <w:footnoteReference w:id="33"/>
      </w:r>
      <w:r>
        <w:rPr>
          <w:rFonts w:eastAsia="宋体" w:cs="Times New Roman"/>
          <w:sz w:val="24"/>
          <w:szCs w:val="24"/>
          <w:vertAlign w:val="superscript"/>
        </w:rPr>
        <w:t>]</w:t>
      </w:r>
      <w:r>
        <w:rPr>
          <w:rFonts w:eastAsia="宋体" w:cs="Times New Roman"/>
          <w:sz w:val="24"/>
          <w:szCs w:val="24"/>
        </w:rPr>
        <w:t>。</w:t>
      </w:r>
    </w:p>
    <w:p w14:paraId="2D1A0A42" w14:textId="77777777" w:rsidR="00602083" w:rsidRDefault="00E51994">
      <w:pPr>
        <w:spacing w:line="360" w:lineRule="auto"/>
        <w:ind w:firstLine="480"/>
        <w:outlineLvl w:val="3"/>
        <w:rPr>
          <w:rFonts w:eastAsia="宋体" w:cs="Times New Roman"/>
          <w:bCs/>
          <w:sz w:val="24"/>
          <w:szCs w:val="24"/>
        </w:rPr>
      </w:pPr>
      <w:r>
        <w:rPr>
          <w:rFonts w:eastAsia="宋体" w:cs="Times New Roman" w:hint="eastAsia"/>
          <w:bCs/>
          <w:sz w:val="24"/>
          <w:szCs w:val="24"/>
        </w:rPr>
        <w:t>（</w:t>
      </w:r>
      <w:r>
        <w:rPr>
          <w:rFonts w:eastAsia="宋体" w:cs="Times New Roman" w:hint="eastAsia"/>
          <w:bCs/>
          <w:sz w:val="24"/>
          <w:szCs w:val="24"/>
        </w:rPr>
        <w:t>3</w:t>
      </w:r>
      <w:r>
        <w:rPr>
          <w:rFonts w:eastAsia="宋体" w:cs="Times New Roman" w:hint="eastAsia"/>
          <w:bCs/>
          <w:sz w:val="24"/>
          <w:szCs w:val="24"/>
        </w:rPr>
        <w:t>）</w:t>
      </w:r>
      <w:r>
        <w:rPr>
          <w:rFonts w:eastAsia="宋体" w:cs="Times New Roman"/>
          <w:bCs/>
          <w:sz w:val="24"/>
          <w:szCs w:val="24"/>
        </w:rPr>
        <w:t>数字经济对不同</w:t>
      </w:r>
      <w:r>
        <w:rPr>
          <w:rFonts w:eastAsia="宋体" w:cs="Times New Roman" w:hint="eastAsia"/>
          <w:bCs/>
          <w:sz w:val="24"/>
          <w:szCs w:val="24"/>
        </w:rPr>
        <w:t>群体</w:t>
      </w:r>
      <w:r>
        <w:rPr>
          <w:rFonts w:eastAsia="宋体" w:cs="Times New Roman"/>
          <w:bCs/>
          <w:sz w:val="24"/>
          <w:szCs w:val="24"/>
        </w:rPr>
        <w:t>收入分配的影响</w:t>
      </w:r>
    </w:p>
    <w:p w14:paraId="5B085300"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相当一部分学者研究认为数字经济将会扩大收入分配的差距。针对不同群体之间的差距，李怡和柯杰升（</w:t>
      </w:r>
      <w:r>
        <w:rPr>
          <w:rFonts w:eastAsia="宋体" w:cs="Times New Roman" w:hint="eastAsia"/>
          <w:sz w:val="24"/>
          <w:szCs w:val="24"/>
        </w:rPr>
        <w:t>2021</w:t>
      </w:r>
      <w:r>
        <w:rPr>
          <w:rFonts w:eastAsia="宋体" w:cs="Times New Roman" w:hint="eastAsia"/>
          <w:sz w:val="24"/>
          <w:szCs w:val="24"/>
        </w:rPr>
        <w:t>）肯定了数字经济对农民收入所具有的正向促进作用，但社会经济地位和受教育程度较高的群体从数字经济发展中受益更多，数字经济在促进农民收入总体增长条件下强化了收入差距扩大</w:t>
      </w:r>
      <w:r>
        <w:rPr>
          <w:rFonts w:eastAsia="宋体" w:cs="Times New Roman"/>
          <w:sz w:val="24"/>
          <w:szCs w:val="24"/>
          <w:vertAlign w:val="superscript"/>
        </w:rPr>
        <w:t>[</w:t>
      </w:r>
      <w:r>
        <w:rPr>
          <w:rFonts w:eastAsia="宋体" w:cs="Times New Roman"/>
          <w:sz w:val="24"/>
          <w:szCs w:val="24"/>
          <w:vertAlign w:val="superscript"/>
        </w:rPr>
        <w:footnoteReference w:id="34"/>
      </w:r>
      <w:r>
        <w:rPr>
          <w:rFonts w:eastAsia="宋体" w:cs="Times New Roman"/>
          <w:sz w:val="24"/>
          <w:szCs w:val="24"/>
          <w:vertAlign w:val="superscript"/>
        </w:rPr>
        <w:t>]</w:t>
      </w:r>
      <w:r>
        <w:rPr>
          <w:rFonts w:eastAsia="宋体" w:cs="Times New Roman" w:hint="eastAsia"/>
          <w:sz w:val="24"/>
          <w:szCs w:val="24"/>
        </w:rPr>
        <w:t>。孙杰（</w:t>
      </w:r>
      <w:r>
        <w:rPr>
          <w:rFonts w:eastAsia="宋体" w:cs="Times New Roman" w:hint="eastAsia"/>
          <w:sz w:val="24"/>
          <w:szCs w:val="24"/>
        </w:rPr>
        <w:t>2019</w:t>
      </w:r>
      <w:r>
        <w:rPr>
          <w:rFonts w:eastAsia="宋体" w:cs="Times New Roman" w:hint="eastAsia"/>
          <w:sz w:val="24"/>
          <w:szCs w:val="24"/>
        </w:rPr>
        <w:t>）认为，在数字经济背景下创造了少数具有强大市场势力的独角兽平台企业，其提供的工作岗位需要良好教育背景和受过专业训练的劳动者，要求劳动者工作效率高，专业技能强硬，收入也不断上升，同时，数字经济也产生了一批由实体经济逐渐转型升级的企业，产生大量专业化程度要求不高的岗位，收入增长缓慢，这两个群体的收入差距不断拉大，</w:t>
      </w:r>
      <w:r>
        <w:rPr>
          <w:rFonts w:eastAsia="宋体" w:cs="Times New Roman" w:hint="eastAsia"/>
          <w:sz w:val="24"/>
          <w:szCs w:val="24"/>
        </w:rPr>
        <w:lastRenderedPageBreak/>
        <w:t>容易出现两极分化</w:t>
      </w:r>
      <w:r>
        <w:rPr>
          <w:rFonts w:eastAsia="宋体" w:cs="Times New Roman"/>
          <w:sz w:val="24"/>
          <w:szCs w:val="24"/>
          <w:vertAlign w:val="superscript"/>
        </w:rPr>
        <w:t>[</w:t>
      </w:r>
      <w:r>
        <w:rPr>
          <w:rFonts w:eastAsia="宋体" w:cs="Times New Roman"/>
          <w:sz w:val="24"/>
          <w:szCs w:val="24"/>
          <w:vertAlign w:val="superscript"/>
        </w:rPr>
        <w:footnoteReference w:id="35"/>
      </w:r>
      <w:r>
        <w:rPr>
          <w:rFonts w:eastAsia="宋体" w:cs="Times New Roman"/>
          <w:sz w:val="24"/>
          <w:szCs w:val="24"/>
          <w:vertAlign w:val="superscript"/>
        </w:rPr>
        <w:t>]</w:t>
      </w:r>
      <w:r>
        <w:rPr>
          <w:rFonts w:eastAsia="宋体" w:cs="Times New Roman" w:hint="eastAsia"/>
          <w:sz w:val="24"/>
          <w:szCs w:val="24"/>
        </w:rPr>
        <w:t>。</w:t>
      </w:r>
    </w:p>
    <w:p w14:paraId="69651CB6"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人工智能作为数字经济的典型代表，在研究中备受关注。</w:t>
      </w:r>
      <w:r>
        <w:rPr>
          <w:rFonts w:eastAsia="宋体" w:cs="Times New Roman"/>
          <w:sz w:val="24"/>
          <w:szCs w:val="24"/>
        </w:rPr>
        <w:t>大多数研究认为，人工智能等数字化技术能够与高技能劳动实现互补，但会对低技能劳动产生替代，进而通过影响劳动力供求结构，扩大高、低技能劳动群体之间的收入差距。</w:t>
      </w:r>
      <w:r>
        <w:rPr>
          <w:rFonts w:eastAsia="宋体" w:cs="Times New Roman"/>
          <w:sz w:val="24"/>
          <w:szCs w:val="24"/>
        </w:rPr>
        <w:t>Lankisch</w:t>
      </w:r>
      <w:r>
        <w:rPr>
          <w:rFonts w:eastAsia="宋体" w:cs="Times New Roman" w:hint="eastAsia"/>
          <w:sz w:val="24"/>
          <w:szCs w:val="24"/>
        </w:rPr>
        <w:t>等</w:t>
      </w:r>
      <w:r>
        <w:rPr>
          <w:rFonts w:eastAsia="宋体" w:cs="Times New Roman"/>
          <w:sz w:val="24"/>
          <w:szCs w:val="24"/>
        </w:rPr>
        <w:t>（</w:t>
      </w:r>
      <w:r>
        <w:rPr>
          <w:rFonts w:eastAsia="宋体" w:cs="Times New Roman"/>
          <w:sz w:val="24"/>
          <w:szCs w:val="24"/>
        </w:rPr>
        <w:t>2017</w:t>
      </w:r>
      <w:r>
        <w:rPr>
          <w:rFonts w:eastAsia="宋体" w:cs="Times New Roman"/>
          <w:sz w:val="24"/>
          <w:szCs w:val="24"/>
        </w:rPr>
        <w:t>）基于低技能劳动更容易被机器替代的假设构建内生经济增长模型，探究自动化技术对高、低技能劳动力工资水平的影响发现，自动化技术不仅会降低低技能劳动工资水平，还会提高技能溢价，从而扩大高、低技能劳动者群体之间的收入差距</w:t>
      </w:r>
      <w:r>
        <w:rPr>
          <w:rFonts w:eastAsia="宋体" w:cs="Times New Roman"/>
          <w:sz w:val="24"/>
          <w:szCs w:val="24"/>
          <w:vertAlign w:val="superscript"/>
        </w:rPr>
        <w:t>[</w:t>
      </w:r>
      <w:r>
        <w:rPr>
          <w:rFonts w:eastAsia="宋体" w:cs="Times New Roman"/>
          <w:sz w:val="24"/>
          <w:szCs w:val="24"/>
          <w:vertAlign w:val="superscript"/>
        </w:rPr>
        <w:footnoteReference w:id="36"/>
      </w:r>
      <w:r>
        <w:rPr>
          <w:rFonts w:eastAsia="宋体" w:cs="Times New Roman"/>
          <w:sz w:val="24"/>
          <w:szCs w:val="24"/>
          <w:vertAlign w:val="superscript"/>
        </w:rPr>
        <w:t>]</w:t>
      </w:r>
      <w:r>
        <w:rPr>
          <w:rFonts w:eastAsia="宋体" w:cs="Times New Roman"/>
          <w:sz w:val="24"/>
          <w:szCs w:val="24"/>
        </w:rPr>
        <w:t>。</w:t>
      </w:r>
      <w:r>
        <w:rPr>
          <w:rFonts w:eastAsia="宋体" w:cs="Times New Roman"/>
          <w:sz w:val="24"/>
          <w:szCs w:val="24"/>
        </w:rPr>
        <w:t>Dauth</w:t>
      </w:r>
      <w:r>
        <w:rPr>
          <w:rFonts w:eastAsia="宋体" w:cs="Times New Roman" w:hint="eastAsia"/>
          <w:sz w:val="24"/>
          <w:szCs w:val="24"/>
        </w:rPr>
        <w:t>等</w:t>
      </w:r>
      <w:r>
        <w:rPr>
          <w:rFonts w:eastAsia="宋体" w:cs="Times New Roman"/>
          <w:sz w:val="24"/>
          <w:szCs w:val="24"/>
        </w:rPr>
        <w:t>（</w:t>
      </w:r>
      <w:r>
        <w:rPr>
          <w:rFonts w:eastAsia="宋体" w:cs="Times New Roman"/>
          <w:sz w:val="24"/>
          <w:szCs w:val="24"/>
        </w:rPr>
        <w:t>2017</w:t>
      </w:r>
      <w:r>
        <w:rPr>
          <w:rFonts w:eastAsia="宋体" w:cs="Times New Roman"/>
          <w:sz w:val="24"/>
          <w:szCs w:val="24"/>
        </w:rPr>
        <w:t>）通过研究德国劳动力市场上机器人对就业的影响发现，机器人数量增加会减少中、低技能劳动力的收入，且对前者的影响更为显著，但能够增加高技能劳动力的收入水平</w:t>
      </w:r>
      <w:r>
        <w:rPr>
          <w:rFonts w:eastAsia="宋体" w:cs="Times New Roman"/>
          <w:sz w:val="24"/>
          <w:szCs w:val="24"/>
          <w:vertAlign w:val="superscript"/>
        </w:rPr>
        <w:t>[</w:t>
      </w:r>
      <w:r>
        <w:rPr>
          <w:rFonts w:eastAsia="宋体" w:cs="Times New Roman"/>
          <w:sz w:val="24"/>
          <w:szCs w:val="24"/>
          <w:vertAlign w:val="superscript"/>
        </w:rPr>
        <w:footnoteReference w:id="37"/>
      </w:r>
      <w:r>
        <w:rPr>
          <w:rFonts w:eastAsia="宋体" w:cs="Times New Roman"/>
          <w:sz w:val="24"/>
          <w:szCs w:val="24"/>
          <w:vertAlign w:val="superscript"/>
        </w:rPr>
        <w:t>]</w:t>
      </w:r>
      <w:r>
        <w:rPr>
          <w:rFonts w:eastAsia="宋体" w:cs="Times New Roman"/>
          <w:sz w:val="24"/>
          <w:szCs w:val="24"/>
        </w:rPr>
        <w:t>。</w:t>
      </w:r>
      <w:r>
        <w:rPr>
          <w:rFonts w:eastAsia="宋体" w:cs="Times New Roman"/>
          <w:sz w:val="24"/>
          <w:szCs w:val="24"/>
        </w:rPr>
        <w:t>Autor</w:t>
      </w:r>
      <w:r>
        <w:rPr>
          <w:rFonts w:eastAsia="宋体" w:cs="Times New Roman"/>
          <w:sz w:val="24"/>
          <w:szCs w:val="24"/>
        </w:rPr>
        <w:t>（</w:t>
      </w:r>
      <w:r>
        <w:rPr>
          <w:rFonts w:eastAsia="宋体" w:cs="Times New Roman"/>
          <w:sz w:val="24"/>
          <w:szCs w:val="24"/>
        </w:rPr>
        <w:t>2015</w:t>
      </w:r>
      <w:r>
        <w:rPr>
          <w:rFonts w:eastAsia="宋体" w:cs="Times New Roman"/>
          <w:sz w:val="24"/>
          <w:szCs w:val="24"/>
        </w:rPr>
        <w:t>）指出人工智能将使工资不成比例地流向高、低技能劳动群体，进而导致两极分化现象。此外，还有学者从短期和长期两个层面分析了人工智能对不同技能劳动力工资水平的影响，并认为短期内人工智能会降低中等技能劳动力的工资，但会增加高、低技能劳动群体的工资水平</w:t>
      </w:r>
      <w:r>
        <w:rPr>
          <w:rFonts w:eastAsia="宋体" w:cs="Times New Roman"/>
          <w:sz w:val="24"/>
          <w:szCs w:val="24"/>
          <w:vertAlign w:val="superscript"/>
        </w:rPr>
        <w:t>[</w:t>
      </w:r>
      <w:r>
        <w:rPr>
          <w:rFonts w:eastAsia="宋体" w:cs="Times New Roman"/>
          <w:sz w:val="24"/>
          <w:szCs w:val="24"/>
          <w:vertAlign w:val="superscript"/>
        </w:rPr>
        <w:footnoteReference w:id="38"/>
      </w:r>
      <w:r>
        <w:rPr>
          <w:rFonts w:eastAsia="宋体" w:cs="Times New Roman"/>
          <w:sz w:val="24"/>
          <w:szCs w:val="24"/>
          <w:vertAlign w:val="superscript"/>
        </w:rPr>
        <w:t>]</w:t>
      </w:r>
      <w:r>
        <w:rPr>
          <w:rFonts w:eastAsia="宋体" w:cs="Times New Roman"/>
          <w:sz w:val="24"/>
          <w:szCs w:val="24"/>
        </w:rPr>
        <w:t>。</w:t>
      </w:r>
    </w:p>
    <w:p w14:paraId="670B59AB"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也有部分研究认为数字经济的发展有利于缩小收入差距，构建形成更为健康的收入分配格局。黄佳（</w:t>
      </w:r>
      <w:r>
        <w:rPr>
          <w:rFonts w:eastAsia="宋体" w:cs="Times New Roman" w:hint="eastAsia"/>
          <w:sz w:val="24"/>
          <w:szCs w:val="24"/>
        </w:rPr>
        <w:t>2021</w:t>
      </w:r>
      <w:r>
        <w:rPr>
          <w:rFonts w:eastAsia="宋体" w:cs="Times New Roman" w:hint="eastAsia"/>
          <w:sz w:val="24"/>
          <w:szCs w:val="24"/>
        </w:rPr>
        <w:t>）认为互联网革命所带来的数字经济尤其是数字金融的发展，改善了金融服务的便利性和可获得性，具有扁平化的结构特征、消除了大量的中间环节互联网的数字经济和数字金融，使金融服务的便利性大幅度改善，扩大了触及率，尤其改善了原先被传统金融排除在外的群体的收入不平等问题</w:t>
      </w:r>
      <w:r>
        <w:rPr>
          <w:rFonts w:eastAsia="宋体" w:cs="Times New Roman"/>
          <w:sz w:val="24"/>
          <w:szCs w:val="24"/>
          <w:vertAlign w:val="superscript"/>
        </w:rPr>
        <w:t>[</w:t>
      </w:r>
      <w:r>
        <w:rPr>
          <w:rFonts w:eastAsia="宋体" w:cs="Times New Roman"/>
          <w:sz w:val="24"/>
          <w:szCs w:val="24"/>
          <w:vertAlign w:val="superscript"/>
        </w:rPr>
        <w:footnoteReference w:id="39"/>
      </w:r>
      <w:r>
        <w:rPr>
          <w:rFonts w:eastAsia="宋体" w:cs="Times New Roman"/>
          <w:sz w:val="24"/>
          <w:szCs w:val="24"/>
          <w:vertAlign w:val="superscript"/>
        </w:rPr>
        <w:t>]</w:t>
      </w:r>
      <w:r>
        <w:rPr>
          <w:rFonts w:eastAsia="宋体" w:cs="Times New Roman" w:hint="eastAsia"/>
          <w:sz w:val="24"/>
          <w:szCs w:val="24"/>
        </w:rPr>
        <w:t>。韩文龙（</w:t>
      </w:r>
      <w:r>
        <w:rPr>
          <w:rFonts w:eastAsia="宋体" w:cs="Times New Roman" w:hint="eastAsia"/>
          <w:sz w:val="24"/>
          <w:szCs w:val="24"/>
        </w:rPr>
        <w:t>2021</w:t>
      </w:r>
      <w:r>
        <w:rPr>
          <w:rFonts w:eastAsia="宋体" w:cs="Times New Roman" w:hint="eastAsia"/>
          <w:sz w:val="24"/>
          <w:szCs w:val="24"/>
        </w:rPr>
        <w:t>）利用马克思政治经济学的研究框架，认为数字分配力的普惠效应可以优化收入分配结构，将数字分配力定义为基于数字技术、数字要素和数字生产过程形成的对社会财富分配的参与能力和实现能力，而当下数字分配力已成为影响收入分配和结构的重要变量，具体而言，数字化生产方式的变革引起生产关系的局部变化，随后收入分配关系也发生了局部调整，最终导致两方面的变化：一是客观和主观生产条件的数字化</w:t>
      </w:r>
      <w:r>
        <w:rPr>
          <w:rFonts w:eastAsia="宋体" w:cs="Times New Roman" w:hint="eastAsia"/>
          <w:sz w:val="24"/>
          <w:szCs w:val="24"/>
        </w:rPr>
        <w:lastRenderedPageBreak/>
        <w:t>趋势，二是收入分配的普惠性可以有条件地实现</w:t>
      </w:r>
      <w:r>
        <w:rPr>
          <w:rFonts w:eastAsia="宋体" w:cs="Times New Roman"/>
          <w:sz w:val="24"/>
          <w:szCs w:val="24"/>
          <w:vertAlign w:val="superscript"/>
        </w:rPr>
        <w:t>[</w:t>
      </w:r>
      <w:r>
        <w:rPr>
          <w:rFonts w:eastAsia="宋体" w:cs="Times New Roman"/>
          <w:sz w:val="24"/>
          <w:szCs w:val="24"/>
          <w:vertAlign w:val="superscript"/>
        </w:rPr>
        <w:footnoteReference w:id="40"/>
      </w:r>
      <w:r>
        <w:rPr>
          <w:rFonts w:eastAsia="宋体" w:cs="Times New Roman"/>
          <w:sz w:val="24"/>
          <w:szCs w:val="24"/>
          <w:vertAlign w:val="superscript"/>
        </w:rPr>
        <w:t>]</w:t>
      </w:r>
      <w:r>
        <w:rPr>
          <w:rFonts w:eastAsia="宋体" w:cs="Times New Roman" w:hint="eastAsia"/>
          <w:sz w:val="24"/>
          <w:szCs w:val="24"/>
        </w:rPr>
        <w:t>。</w:t>
      </w:r>
    </w:p>
    <w:p w14:paraId="397BD003" w14:textId="77777777" w:rsidR="00602083" w:rsidRDefault="00E51994">
      <w:pPr>
        <w:pStyle w:val="2"/>
        <w:ind w:firstLine="480"/>
        <w:rPr>
          <w:b/>
        </w:rPr>
      </w:pPr>
      <w:bookmarkStart w:id="42" w:name="_Toc92734350"/>
      <w:bookmarkStart w:id="43" w:name="_Toc93841282"/>
      <w:bookmarkStart w:id="44" w:name="_Toc93925271"/>
      <w:r>
        <w:rPr>
          <w:rFonts w:hint="eastAsia"/>
        </w:rPr>
        <w:t>三、</w:t>
      </w:r>
      <w:r>
        <w:t>数字经济</w:t>
      </w:r>
      <w:bookmarkEnd w:id="40"/>
      <w:r>
        <w:t>对就业与收入分配的实际影响</w:t>
      </w:r>
      <w:bookmarkEnd w:id="41"/>
      <w:bookmarkEnd w:id="42"/>
      <w:bookmarkEnd w:id="43"/>
      <w:bookmarkEnd w:id="44"/>
    </w:p>
    <w:p w14:paraId="5DE7C33A" w14:textId="77777777" w:rsidR="00602083" w:rsidRDefault="00E51994">
      <w:pPr>
        <w:pStyle w:val="3"/>
        <w:spacing w:before="192" w:after="240"/>
        <w:ind w:firstLine="480"/>
      </w:pPr>
      <w:bookmarkStart w:id="45" w:name="_Toc22433"/>
      <w:bookmarkStart w:id="46" w:name="_Toc92734351"/>
      <w:bookmarkStart w:id="47" w:name="_Toc15627"/>
      <w:bookmarkStart w:id="48" w:name="_Toc93925272"/>
      <w:r>
        <w:rPr>
          <w:rFonts w:hint="eastAsia"/>
        </w:rPr>
        <w:t>（一）</w:t>
      </w:r>
      <w:bookmarkEnd w:id="45"/>
      <w:r>
        <w:rPr>
          <w:rFonts w:hint="eastAsia"/>
        </w:rPr>
        <w:t>数字经济就业的主要特征</w:t>
      </w:r>
      <w:bookmarkEnd w:id="46"/>
      <w:bookmarkEnd w:id="47"/>
      <w:bookmarkEnd w:id="48"/>
    </w:p>
    <w:p w14:paraId="1F39747E" w14:textId="77777777" w:rsidR="00602083" w:rsidRDefault="00E51994">
      <w:pPr>
        <w:pStyle w:val="4"/>
      </w:pPr>
      <w:bookmarkStart w:id="49" w:name="_Toc92734352"/>
      <w:bookmarkStart w:id="50" w:name="_Toc8286"/>
      <w:bookmarkStart w:id="51" w:name="_Toc14343"/>
      <w:r>
        <w:rPr>
          <w:rFonts w:hint="eastAsia"/>
        </w:rPr>
        <w:t>1</w:t>
      </w:r>
      <w:r>
        <w:t>.</w:t>
      </w:r>
      <w:r>
        <w:rPr>
          <w:rFonts w:hint="eastAsia"/>
        </w:rPr>
        <w:t>组织特征：数字平台成为重要用工主体</w:t>
      </w:r>
      <w:bookmarkEnd w:id="49"/>
      <w:bookmarkEnd w:id="50"/>
      <w:bookmarkEnd w:id="51"/>
    </w:p>
    <w:p w14:paraId="7A36D93E"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工业经济时代，就业形态依托“泰勒制</w:t>
      </w:r>
      <w:r>
        <w:rPr>
          <w:rFonts w:eastAsia="宋体" w:cs="Times New Roman" w:hint="eastAsia"/>
          <w:sz w:val="24"/>
          <w:szCs w:val="24"/>
        </w:rPr>
        <w:t>+</w:t>
      </w:r>
      <w:r>
        <w:rPr>
          <w:rFonts w:eastAsia="宋体" w:cs="Times New Roman" w:hint="eastAsia"/>
          <w:sz w:val="24"/>
          <w:szCs w:val="24"/>
        </w:rPr>
        <w:t>福特制”的组织体系，呈现出科层制、职能制的垂直组织特征。而在数字经济时代，网络化、扁平化的平台型组织崛起壮大，成为了最为重要的数字经济用工主体。数据显示，包括网约车、在线外卖、知识分享、共享物流等在内的共享经济领域，</w:t>
      </w:r>
      <w:r>
        <w:rPr>
          <w:rFonts w:eastAsia="宋体" w:cs="Times New Roman" w:hint="eastAsia"/>
          <w:sz w:val="24"/>
          <w:szCs w:val="24"/>
        </w:rPr>
        <w:t>2020</w:t>
      </w:r>
      <w:r>
        <w:rPr>
          <w:rFonts w:eastAsia="宋体" w:cs="Times New Roman" w:hint="eastAsia"/>
          <w:sz w:val="24"/>
          <w:szCs w:val="24"/>
        </w:rPr>
        <w:t>年在疫情冲击之下就业人数仍然保持了稳定增长，共享经济参与者约为</w:t>
      </w:r>
      <w:r>
        <w:rPr>
          <w:rFonts w:eastAsia="宋体" w:cs="Times New Roman" w:hint="eastAsia"/>
          <w:sz w:val="24"/>
          <w:szCs w:val="24"/>
        </w:rPr>
        <w:t>8.3</w:t>
      </w:r>
      <w:r>
        <w:rPr>
          <w:rFonts w:eastAsia="宋体" w:cs="Times New Roman" w:hint="eastAsia"/>
          <w:sz w:val="24"/>
          <w:szCs w:val="24"/>
        </w:rPr>
        <w:t>亿人，其中服务提供者约为</w:t>
      </w:r>
      <w:r>
        <w:rPr>
          <w:rFonts w:eastAsia="宋体" w:cs="Times New Roman" w:hint="eastAsia"/>
          <w:sz w:val="24"/>
          <w:szCs w:val="24"/>
        </w:rPr>
        <w:t>8400</w:t>
      </w:r>
      <w:r>
        <w:rPr>
          <w:rFonts w:eastAsia="宋体" w:cs="Times New Roman" w:hint="eastAsia"/>
          <w:sz w:val="24"/>
          <w:szCs w:val="24"/>
        </w:rPr>
        <w:t>万人，同比增长约</w:t>
      </w:r>
      <w:r>
        <w:rPr>
          <w:rFonts w:eastAsia="宋体" w:cs="Times New Roman" w:hint="eastAsia"/>
          <w:sz w:val="24"/>
          <w:szCs w:val="24"/>
        </w:rPr>
        <w:t>7.7%</w:t>
      </w:r>
      <w:r>
        <w:rPr>
          <w:rFonts w:eastAsia="宋体" w:cs="Times New Roman" w:hint="eastAsia"/>
          <w:sz w:val="24"/>
          <w:szCs w:val="24"/>
        </w:rPr>
        <w:t>；平台企业员工数约</w:t>
      </w:r>
      <w:r>
        <w:rPr>
          <w:rFonts w:eastAsia="宋体" w:cs="Times New Roman" w:hint="eastAsia"/>
          <w:sz w:val="24"/>
          <w:szCs w:val="24"/>
        </w:rPr>
        <w:t>631</w:t>
      </w:r>
      <w:r>
        <w:rPr>
          <w:rFonts w:eastAsia="宋体" w:cs="Times New Roman" w:hint="eastAsia"/>
          <w:sz w:val="24"/>
          <w:szCs w:val="24"/>
        </w:rPr>
        <w:t>万人，同比增长约</w:t>
      </w:r>
      <w:r>
        <w:rPr>
          <w:rFonts w:eastAsia="宋体" w:cs="Times New Roman" w:hint="eastAsia"/>
          <w:sz w:val="24"/>
          <w:szCs w:val="24"/>
        </w:rPr>
        <w:t>1.3%</w:t>
      </w:r>
      <w:r>
        <w:rPr>
          <w:rFonts w:eastAsia="宋体"/>
          <w:sz w:val="24"/>
          <w:szCs w:val="24"/>
          <w:vertAlign w:val="superscript"/>
        </w:rPr>
        <w:t>[</w:t>
      </w:r>
      <w:r>
        <w:rPr>
          <w:rFonts w:eastAsia="宋体"/>
          <w:sz w:val="24"/>
          <w:szCs w:val="24"/>
          <w:vertAlign w:val="superscript"/>
        </w:rPr>
        <w:footnoteReference w:id="41"/>
      </w:r>
      <w:r>
        <w:rPr>
          <w:rFonts w:eastAsia="宋体"/>
          <w:sz w:val="24"/>
          <w:szCs w:val="24"/>
          <w:vertAlign w:val="superscript"/>
        </w:rPr>
        <w:t>]</w:t>
      </w:r>
      <w:r>
        <w:rPr>
          <w:rFonts w:eastAsia="宋体" w:cs="Times New Roman" w:hint="eastAsia"/>
          <w:sz w:val="24"/>
          <w:szCs w:val="24"/>
        </w:rPr>
        <w:t>。基于微信平台的《数字化就业新职业新岗位报告》显示，由公众号、小程序、视频号、微信支付、企业微信等共同构成的微信生态，在</w:t>
      </w:r>
      <w:r>
        <w:rPr>
          <w:rFonts w:eastAsia="宋体" w:cs="Times New Roman" w:hint="eastAsia"/>
          <w:sz w:val="24"/>
          <w:szCs w:val="24"/>
        </w:rPr>
        <w:t>2020</w:t>
      </w:r>
      <w:r>
        <w:rPr>
          <w:rFonts w:eastAsia="宋体" w:cs="Times New Roman" w:hint="eastAsia"/>
          <w:sz w:val="24"/>
          <w:szCs w:val="24"/>
        </w:rPr>
        <w:t>年衍生就业机会</w:t>
      </w:r>
      <w:r>
        <w:rPr>
          <w:rFonts w:eastAsia="宋体" w:cs="Times New Roman" w:hint="eastAsia"/>
          <w:sz w:val="24"/>
          <w:szCs w:val="24"/>
        </w:rPr>
        <w:t>3684</w:t>
      </w:r>
      <w:r>
        <w:rPr>
          <w:rFonts w:eastAsia="宋体" w:cs="Times New Roman" w:hint="eastAsia"/>
          <w:sz w:val="24"/>
          <w:szCs w:val="24"/>
        </w:rPr>
        <w:t>万个，同比增长</w:t>
      </w:r>
      <w:r>
        <w:rPr>
          <w:rFonts w:eastAsia="宋体" w:cs="Times New Roman" w:hint="eastAsia"/>
          <w:sz w:val="24"/>
          <w:szCs w:val="24"/>
        </w:rPr>
        <w:t>24.4%</w:t>
      </w:r>
      <w:r>
        <w:rPr>
          <w:rFonts w:eastAsia="宋体" w:cs="Times New Roman"/>
          <w:sz w:val="24"/>
          <w:szCs w:val="24"/>
          <w:vertAlign w:val="superscript"/>
        </w:rPr>
        <w:t>[</w:t>
      </w:r>
      <w:r>
        <w:rPr>
          <w:rFonts w:eastAsia="宋体" w:cs="Times New Roman"/>
          <w:sz w:val="24"/>
          <w:szCs w:val="24"/>
          <w:vertAlign w:val="superscript"/>
        </w:rPr>
        <w:footnoteReference w:id="42"/>
      </w:r>
      <w:r>
        <w:rPr>
          <w:rFonts w:eastAsia="宋体" w:cs="Times New Roman"/>
          <w:sz w:val="24"/>
          <w:szCs w:val="24"/>
          <w:vertAlign w:val="superscript"/>
        </w:rPr>
        <w:t>]</w:t>
      </w:r>
      <w:r>
        <w:rPr>
          <w:rFonts w:eastAsia="宋体" w:cs="Times New Roman" w:hint="eastAsia"/>
          <w:sz w:val="24"/>
          <w:szCs w:val="24"/>
        </w:rPr>
        <w:t>。</w:t>
      </w:r>
    </w:p>
    <w:p w14:paraId="253906B4"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平台上的员工可以分为两类，一类是平台上的标准就业形态员工。一般是负责平台企业研发、运营、维护、管理等等核心内容，平台企业与之建立雇佣劳动合同关系、采用全日制就业形态、进行标准化管理。另一类是非标准就业形态劳动者，也就是新就业形态劳动者。他们平台一般不签订劳动合同，没有单一雇主、固定工作场所、最低工作时长要求、固定工薪制等要求。根据与平台的连接关系紧密程度差别，新就业形态劳动者也可分为两种：一是与平台深度绑定，与平台或加盟、代理、外包平台业务的合作企业、劳务派遣企业建立了劳动关系或形成事实劳动关系，如全职形态下电商平台的快递员、网约车平台的网约司机、外卖平台的骑手等。二是靠平台兼职就业，个人自主利用自己的体力、专业技能等通过平台从事劳务、咨询、设计等活动，并取得劳动报酬，对平台的人身从属性、经济依附性较弱，比如众包骑手、兼职网约车司机以及知识技能领域的在线设计、业余主播等。</w:t>
      </w:r>
    </w:p>
    <w:p w14:paraId="17C2DF84" w14:textId="77777777" w:rsidR="00602083" w:rsidRDefault="00E51994">
      <w:pPr>
        <w:pStyle w:val="4"/>
      </w:pPr>
      <w:bookmarkStart w:id="52" w:name="_Toc10346"/>
      <w:bookmarkStart w:id="53" w:name="_Toc21426"/>
      <w:bookmarkStart w:id="54" w:name="_Toc92734353"/>
      <w:r>
        <w:rPr>
          <w:rFonts w:hint="eastAsia"/>
        </w:rPr>
        <w:t>2</w:t>
      </w:r>
      <w:r>
        <w:t>.</w:t>
      </w:r>
      <w:r>
        <w:rPr>
          <w:rFonts w:hint="eastAsia"/>
        </w:rPr>
        <w:t>区域特征：</w:t>
      </w:r>
      <w:bookmarkEnd w:id="52"/>
      <w:r>
        <w:rPr>
          <w:rFonts w:hint="eastAsia"/>
        </w:rPr>
        <w:t>数字经济就业向中西部渗透</w:t>
      </w:r>
      <w:bookmarkEnd w:id="53"/>
      <w:bookmarkEnd w:id="54"/>
    </w:p>
    <w:p w14:paraId="2A05804E"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lastRenderedPageBreak/>
        <w:t>数字技术创新应用突破了传统工作需要在特定劳动空间内展开活动的时间和地域限制，越来越多的企业和劳动者将向具备营商成本低、生活成本低、工作压力小的中小城市与农村转移。如电子商务行业，在</w:t>
      </w:r>
      <w:r>
        <w:rPr>
          <w:rFonts w:eastAsia="宋体" w:cs="Times New Roman" w:hint="eastAsia"/>
          <w:sz w:val="24"/>
          <w:szCs w:val="24"/>
        </w:rPr>
        <w:t>2020</w:t>
      </w:r>
      <w:r>
        <w:rPr>
          <w:rFonts w:eastAsia="宋体" w:cs="Times New Roman" w:hint="eastAsia"/>
          <w:sz w:val="24"/>
          <w:szCs w:val="24"/>
        </w:rPr>
        <w:t>年新冠疫情背景下，淘宝村逆势增长，淘宝村覆盖</w:t>
      </w:r>
      <w:r>
        <w:rPr>
          <w:rFonts w:eastAsia="宋体" w:cs="Times New Roman" w:hint="eastAsia"/>
          <w:sz w:val="24"/>
          <w:szCs w:val="24"/>
        </w:rPr>
        <w:t>28</w:t>
      </w:r>
      <w:r>
        <w:rPr>
          <w:rFonts w:eastAsia="宋体" w:cs="Times New Roman" w:hint="eastAsia"/>
          <w:sz w:val="24"/>
          <w:szCs w:val="24"/>
        </w:rPr>
        <w:t>个省（自治区、直辖市），数量达到</w:t>
      </w:r>
      <w:r>
        <w:rPr>
          <w:rFonts w:eastAsia="宋体" w:cs="Times New Roman" w:hint="eastAsia"/>
          <w:sz w:val="24"/>
          <w:szCs w:val="24"/>
        </w:rPr>
        <w:t>5425</w:t>
      </w:r>
      <w:r>
        <w:rPr>
          <w:rFonts w:eastAsia="宋体" w:cs="Times New Roman" w:hint="eastAsia"/>
          <w:sz w:val="24"/>
          <w:szCs w:val="24"/>
        </w:rPr>
        <w:t>个，总量约占全国行政村总数的</w:t>
      </w:r>
      <w:r>
        <w:rPr>
          <w:rFonts w:eastAsia="宋体" w:cs="Times New Roman" w:hint="eastAsia"/>
          <w:sz w:val="24"/>
          <w:szCs w:val="24"/>
        </w:rPr>
        <w:t>1%</w:t>
      </w:r>
      <w:r>
        <w:rPr>
          <w:rFonts w:eastAsia="宋体" w:cs="Times New Roman" w:hint="eastAsia"/>
          <w:sz w:val="24"/>
          <w:szCs w:val="24"/>
        </w:rPr>
        <w:t>。淘宝镇覆盖</w:t>
      </w:r>
      <w:r>
        <w:rPr>
          <w:rFonts w:eastAsia="宋体" w:cs="Times New Roman" w:hint="eastAsia"/>
          <w:sz w:val="24"/>
          <w:szCs w:val="24"/>
        </w:rPr>
        <w:t>27</w:t>
      </w:r>
      <w:r>
        <w:rPr>
          <w:rFonts w:eastAsia="宋体" w:cs="Times New Roman" w:hint="eastAsia"/>
          <w:sz w:val="24"/>
          <w:szCs w:val="24"/>
        </w:rPr>
        <w:t>个省（自治区、直辖市），数量达到</w:t>
      </w:r>
      <w:r>
        <w:rPr>
          <w:rFonts w:eastAsia="宋体" w:cs="Times New Roman" w:hint="eastAsia"/>
          <w:sz w:val="24"/>
          <w:szCs w:val="24"/>
        </w:rPr>
        <w:t>1756</w:t>
      </w:r>
      <w:r>
        <w:rPr>
          <w:rFonts w:eastAsia="宋体" w:cs="Times New Roman" w:hint="eastAsia"/>
          <w:sz w:val="24"/>
          <w:szCs w:val="24"/>
        </w:rPr>
        <w:t>个，总量约占全国乡镇总数的</w:t>
      </w:r>
      <w:r>
        <w:rPr>
          <w:rFonts w:eastAsia="宋体" w:cs="Times New Roman" w:hint="eastAsia"/>
          <w:sz w:val="24"/>
          <w:szCs w:val="24"/>
        </w:rPr>
        <w:t>5.8%</w:t>
      </w:r>
      <w:r>
        <w:rPr>
          <w:rFonts w:eastAsia="宋体" w:cs="Times New Roman" w:hint="eastAsia"/>
          <w:sz w:val="24"/>
          <w:szCs w:val="24"/>
        </w:rPr>
        <w:t>，四川、广西、贵州、山西、西藏等在内的中西部地区增势更为迅猛。淘宝村和淘宝镇网店年交易额超过</w:t>
      </w:r>
      <w:r>
        <w:rPr>
          <w:rFonts w:eastAsia="宋体" w:cs="Times New Roman" w:hint="eastAsia"/>
          <w:sz w:val="24"/>
          <w:szCs w:val="24"/>
        </w:rPr>
        <w:t>1</w:t>
      </w:r>
      <w:r>
        <w:rPr>
          <w:rFonts w:eastAsia="宋体" w:cs="Times New Roman" w:hint="eastAsia"/>
          <w:sz w:val="24"/>
          <w:szCs w:val="24"/>
        </w:rPr>
        <w:t>万亿元，活跃网店</w:t>
      </w:r>
      <w:r>
        <w:rPr>
          <w:rFonts w:eastAsia="宋体" w:cs="Times New Roman" w:hint="eastAsia"/>
          <w:sz w:val="24"/>
          <w:szCs w:val="24"/>
        </w:rPr>
        <w:t>296</w:t>
      </w:r>
      <w:r>
        <w:rPr>
          <w:rFonts w:eastAsia="宋体" w:cs="Times New Roman" w:hint="eastAsia"/>
          <w:sz w:val="24"/>
          <w:szCs w:val="24"/>
        </w:rPr>
        <w:t>万个，创造了</w:t>
      </w:r>
      <w:r>
        <w:rPr>
          <w:rFonts w:eastAsia="宋体" w:cs="Times New Roman" w:hint="eastAsia"/>
          <w:sz w:val="24"/>
          <w:szCs w:val="24"/>
        </w:rPr>
        <w:t>828</w:t>
      </w:r>
      <w:r>
        <w:rPr>
          <w:rFonts w:eastAsia="宋体" w:cs="Times New Roman" w:hint="eastAsia"/>
          <w:sz w:val="24"/>
          <w:szCs w:val="24"/>
        </w:rPr>
        <w:t>万个就业机会，成为就地创业就业、就地城镇化的重要载体</w:t>
      </w:r>
      <w:r>
        <w:rPr>
          <w:rFonts w:eastAsia="宋体" w:cs="Times New Roman"/>
          <w:sz w:val="24"/>
          <w:szCs w:val="24"/>
          <w:vertAlign w:val="superscript"/>
        </w:rPr>
        <w:t>[</w:t>
      </w:r>
      <w:r>
        <w:rPr>
          <w:rFonts w:eastAsia="宋体" w:cs="Times New Roman"/>
          <w:sz w:val="24"/>
          <w:szCs w:val="24"/>
          <w:vertAlign w:val="superscript"/>
        </w:rPr>
        <w:footnoteReference w:id="43"/>
      </w:r>
      <w:r>
        <w:rPr>
          <w:rFonts w:eastAsia="宋体" w:cs="Times New Roman"/>
          <w:sz w:val="24"/>
          <w:szCs w:val="24"/>
          <w:vertAlign w:val="superscript"/>
        </w:rPr>
        <w:t>]</w:t>
      </w:r>
      <w:r>
        <w:rPr>
          <w:rFonts w:eastAsia="宋体" w:cs="Times New Roman" w:hint="eastAsia"/>
          <w:sz w:val="24"/>
          <w:szCs w:val="24"/>
        </w:rPr>
        <w:t>。再如直播行业，目前我国共有</w:t>
      </w:r>
      <w:r>
        <w:rPr>
          <w:rFonts w:eastAsia="宋体" w:cs="Times New Roman" w:hint="eastAsia"/>
          <w:sz w:val="24"/>
          <w:szCs w:val="24"/>
        </w:rPr>
        <w:t>4.4</w:t>
      </w:r>
      <w:r>
        <w:rPr>
          <w:rFonts w:eastAsia="宋体" w:cs="Times New Roman" w:hint="eastAsia"/>
          <w:sz w:val="24"/>
          <w:szCs w:val="24"/>
        </w:rPr>
        <w:t>万家直播相关企业，辽宁、山东、福建、海南、陕西、四川、黑龙江等省份的直播相关企业数量排名居前，超越了北京、上海</w:t>
      </w:r>
      <w:r>
        <w:rPr>
          <w:rFonts w:eastAsia="宋体" w:cs="Times New Roman"/>
          <w:sz w:val="24"/>
          <w:szCs w:val="24"/>
          <w:vertAlign w:val="superscript"/>
        </w:rPr>
        <w:t>[</w:t>
      </w:r>
      <w:r>
        <w:rPr>
          <w:rFonts w:eastAsia="宋体" w:cs="Times New Roman"/>
          <w:sz w:val="24"/>
          <w:szCs w:val="24"/>
          <w:vertAlign w:val="superscript"/>
        </w:rPr>
        <w:footnoteReference w:id="44"/>
      </w:r>
      <w:r>
        <w:rPr>
          <w:rFonts w:eastAsia="宋体" w:cs="Times New Roman"/>
          <w:sz w:val="24"/>
          <w:szCs w:val="24"/>
          <w:vertAlign w:val="superscript"/>
        </w:rPr>
        <w:t>]</w:t>
      </w:r>
      <w:r>
        <w:rPr>
          <w:rFonts w:eastAsia="宋体" w:cs="Times New Roman" w:hint="eastAsia"/>
          <w:sz w:val="24"/>
          <w:szCs w:val="24"/>
        </w:rPr>
        <w:t>。领英发布的《中国新兴职业报告》显示，中国新兴职业在二线城市的增长率尤为突出。</w:t>
      </w:r>
      <w:r>
        <w:rPr>
          <w:rFonts w:eastAsia="宋体" w:cs="Times New Roman" w:hint="eastAsia"/>
          <w:sz w:val="24"/>
          <w:szCs w:val="24"/>
        </w:rPr>
        <w:t>2013-2017</w:t>
      </w:r>
      <w:r>
        <w:rPr>
          <w:rFonts w:eastAsia="宋体" w:cs="Times New Roman" w:hint="eastAsia"/>
          <w:sz w:val="24"/>
          <w:szCs w:val="24"/>
        </w:rPr>
        <w:t>年，成都、西安、武汉等二线城市对新兴职业人才的吸引力逐步提升，新媒体运营、前端开发工程师、算法工程师、</w:t>
      </w:r>
      <w:r>
        <w:rPr>
          <w:rFonts w:eastAsia="宋体" w:cs="Times New Roman" w:hint="eastAsia"/>
          <w:sz w:val="24"/>
          <w:szCs w:val="24"/>
        </w:rPr>
        <w:t>UI</w:t>
      </w:r>
      <w:r>
        <w:rPr>
          <w:rFonts w:eastAsia="宋体" w:cs="Times New Roman" w:hint="eastAsia"/>
          <w:sz w:val="24"/>
          <w:szCs w:val="24"/>
        </w:rPr>
        <w:t>设计师和数据分析师等人才的增长率远超北上广深</w:t>
      </w:r>
      <w:r>
        <w:rPr>
          <w:rFonts w:eastAsia="宋体" w:cs="Times New Roman"/>
          <w:sz w:val="24"/>
          <w:szCs w:val="24"/>
          <w:vertAlign w:val="superscript"/>
        </w:rPr>
        <w:t>[</w:t>
      </w:r>
      <w:r>
        <w:rPr>
          <w:rFonts w:eastAsia="宋体" w:cs="Times New Roman"/>
          <w:sz w:val="24"/>
          <w:szCs w:val="24"/>
          <w:vertAlign w:val="superscript"/>
        </w:rPr>
        <w:footnoteReference w:id="45"/>
      </w:r>
      <w:r>
        <w:rPr>
          <w:rFonts w:eastAsia="宋体" w:cs="Times New Roman"/>
          <w:sz w:val="24"/>
          <w:szCs w:val="24"/>
          <w:vertAlign w:val="superscript"/>
        </w:rPr>
        <w:t>]</w:t>
      </w:r>
      <w:r>
        <w:rPr>
          <w:rFonts w:eastAsia="宋体" w:cs="Times New Roman" w:hint="eastAsia"/>
          <w:sz w:val="24"/>
          <w:szCs w:val="24"/>
        </w:rPr>
        <w:t>。微信生态上，调查数据显示，</w:t>
      </w:r>
      <w:r>
        <w:rPr>
          <w:rFonts w:eastAsia="宋体" w:cs="Times New Roman" w:hint="eastAsia"/>
          <w:sz w:val="24"/>
          <w:szCs w:val="24"/>
        </w:rPr>
        <w:t>2020</w:t>
      </w:r>
      <w:r>
        <w:rPr>
          <w:rFonts w:eastAsia="宋体" w:cs="Times New Roman" w:hint="eastAsia"/>
          <w:sz w:val="24"/>
          <w:szCs w:val="24"/>
        </w:rPr>
        <w:t>年与</w:t>
      </w:r>
      <w:r>
        <w:rPr>
          <w:rFonts w:eastAsia="宋体" w:cs="Times New Roman" w:hint="eastAsia"/>
          <w:sz w:val="24"/>
          <w:szCs w:val="24"/>
        </w:rPr>
        <w:t>2019</w:t>
      </w:r>
      <w:r>
        <w:rPr>
          <w:rFonts w:eastAsia="宋体" w:cs="Times New Roman" w:hint="eastAsia"/>
          <w:sz w:val="24"/>
          <w:szCs w:val="24"/>
        </w:rPr>
        <w:t>年相比，微信小程序运营者向中西部迁移，东部地区占比下降</w:t>
      </w:r>
      <w:r>
        <w:rPr>
          <w:rFonts w:eastAsia="宋体" w:cs="Times New Roman" w:hint="eastAsia"/>
          <w:sz w:val="24"/>
          <w:szCs w:val="24"/>
        </w:rPr>
        <w:t>7.2%</w:t>
      </w:r>
      <w:r>
        <w:rPr>
          <w:rFonts w:eastAsia="宋体" w:cs="Times New Roman" w:hint="eastAsia"/>
          <w:sz w:val="24"/>
          <w:szCs w:val="24"/>
        </w:rPr>
        <w:t>，中部、西部地区占比分别上升</w:t>
      </w:r>
      <w:r>
        <w:rPr>
          <w:rFonts w:eastAsia="宋体" w:cs="Times New Roman" w:hint="eastAsia"/>
          <w:sz w:val="24"/>
          <w:szCs w:val="24"/>
        </w:rPr>
        <w:t>4.5%</w:t>
      </w:r>
      <w:r>
        <w:rPr>
          <w:rFonts w:eastAsia="宋体" w:cs="Times New Roman" w:hint="eastAsia"/>
          <w:sz w:val="24"/>
          <w:szCs w:val="24"/>
        </w:rPr>
        <w:t>和</w:t>
      </w:r>
      <w:r>
        <w:rPr>
          <w:rFonts w:eastAsia="宋体" w:cs="Times New Roman" w:hint="eastAsia"/>
          <w:sz w:val="24"/>
          <w:szCs w:val="24"/>
        </w:rPr>
        <w:t>3.5%</w:t>
      </w:r>
      <w:r>
        <w:rPr>
          <w:rFonts w:eastAsia="宋体" w:cs="Times New Roman" w:hint="eastAsia"/>
          <w:sz w:val="24"/>
          <w:szCs w:val="24"/>
        </w:rPr>
        <w:t>。此外，视频号为代表的数字内容创作也以其较低的门槛有效带动了数字化后发地区的就业，云南、辽宁都进入了视频号就业机会前十省份</w:t>
      </w:r>
      <w:r>
        <w:rPr>
          <w:rFonts w:eastAsia="宋体" w:cs="Times New Roman"/>
          <w:sz w:val="24"/>
          <w:szCs w:val="24"/>
          <w:vertAlign w:val="superscript"/>
        </w:rPr>
        <w:t>[</w:t>
      </w:r>
      <w:r>
        <w:rPr>
          <w:rFonts w:eastAsia="宋体" w:cs="Times New Roman"/>
          <w:sz w:val="24"/>
          <w:szCs w:val="24"/>
          <w:vertAlign w:val="superscript"/>
        </w:rPr>
        <w:footnoteReference w:id="46"/>
      </w:r>
      <w:r>
        <w:rPr>
          <w:rFonts w:eastAsia="宋体" w:cs="Times New Roman"/>
          <w:sz w:val="24"/>
          <w:szCs w:val="24"/>
          <w:vertAlign w:val="superscript"/>
        </w:rPr>
        <w:t>]</w:t>
      </w:r>
      <w:r>
        <w:rPr>
          <w:rFonts w:eastAsia="宋体" w:cs="Times New Roman" w:hint="eastAsia"/>
          <w:sz w:val="24"/>
          <w:szCs w:val="24"/>
        </w:rPr>
        <w:t>。</w:t>
      </w:r>
    </w:p>
    <w:p w14:paraId="3017F067" w14:textId="77777777" w:rsidR="00602083" w:rsidRDefault="00E51994">
      <w:pPr>
        <w:pStyle w:val="4"/>
      </w:pPr>
      <w:bookmarkStart w:id="55" w:name="_Toc6913"/>
      <w:bookmarkStart w:id="56" w:name="_Toc1086"/>
      <w:bookmarkStart w:id="57" w:name="_Toc92734354"/>
      <w:r>
        <w:rPr>
          <w:rFonts w:hint="eastAsia"/>
        </w:rPr>
        <w:t>3</w:t>
      </w:r>
      <w:r>
        <w:t>.</w:t>
      </w:r>
      <w:r>
        <w:rPr>
          <w:rFonts w:hint="eastAsia"/>
        </w:rPr>
        <w:t>岗位特征：数字经济就业更加包容灵活</w:t>
      </w:r>
      <w:bookmarkEnd w:id="55"/>
      <w:bookmarkEnd w:id="56"/>
      <w:bookmarkEnd w:id="57"/>
    </w:p>
    <w:p w14:paraId="216E5E83"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就业涉及的领域宽、范围广，能够吸纳不同年龄、技能水平的群体实现就业。不仅有众包设计、创意策划、在线教育等适合大学生、职工等群体兼职就业的知识型岗位，也有外卖骑手、网约车司机、云客服等适合文化水平不高群体的熟练性劳动岗位，为社会重点群体的就业创造了更广阔的空间和更多机会。调研显示，滴滴平台上</w:t>
      </w:r>
      <w:r>
        <w:rPr>
          <w:rFonts w:eastAsia="宋体" w:cs="Times New Roman" w:hint="eastAsia"/>
          <w:sz w:val="24"/>
          <w:szCs w:val="24"/>
        </w:rPr>
        <w:t>20.4%</w:t>
      </w:r>
      <w:r>
        <w:rPr>
          <w:rFonts w:eastAsia="宋体" w:cs="Times New Roman" w:hint="eastAsia"/>
          <w:sz w:val="24"/>
          <w:szCs w:val="24"/>
        </w:rPr>
        <w:t>的专职司机是由于下岗、失业等原因从事网约车工作，</w:t>
      </w:r>
      <w:r>
        <w:rPr>
          <w:rFonts w:eastAsia="宋体" w:cs="Times New Roman" w:hint="eastAsia"/>
          <w:sz w:val="24"/>
          <w:szCs w:val="24"/>
        </w:rPr>
        <w:t>41.1%</w:t>
      </w:r>
      <w:r>
        <w:rPr>
          <w:rFonts w:eastAsia="宋体" w:cs="Times New Roman" w:hint="eastAsia"/>
          <w:sz w:val="24"/>
          <w:szCs w:val="24"/>
        </w:rPr>
        <w:t>来自制造业，</w:t>
      </w:r>
      <w:r>
        <w:rPr>
          <w:rFonts w:eastAsia="宋体" w:cs="Times New Roman" w:hint="eastAsia"/>
          <w:sz w:val="24"/>
          <w:szCs w:val="24"/>
        </w:rPr>
        <w:t>13.6%</w:t>
      </w:r>
      <w:r>
        <w:rPr>
          <w:rFonts w:eastAsia="宋体" w:cs="Times New Roman" w:hint="eastAsia"/>
          <w:sz w:val="24"/>
          <w:szCs w:val="24"/>
        </w:rPr>
        <w:t>来自交通运输业，</w:t>
      </w:r>
      <w:r>
        <w:rPr>
          <w:rFonts w:eastAsia="宋体" w:cs="Times New Roman" w:hint="eastAsia"/>
          <w:sz w:val="24"/>
          <w:szCs w:val="24"/>
        </w:rPr>
        <w:t>4.9%</w:t>
      </w:r>
      <w:r>
        <w:rPr>
          <w:rFonts w:eastAsia="宋体" w:cs="Times New Roman" w:hint="eastAsia"/>
          <w:sz w:val="24"/>
          <w:szCs w:val="24"/>
        </w:rPr>
        <w:t>来自钢铁、煤炭等去产能行业。</w:t>
      </w:r>
      <w:r>
        <w:rPr>
          <w:rFonts w:eastAsia="宋体" w:cs="Times New Roman" w:hint="eastAsia"/>
          <w:sz w:val="24"/>
          <w:szCs w:val="24"/>
        </w:rPr>
        <w:t>2020</w:t>
      </w:r>
      <w:r>
        <w:rPr>
          <w:rFonts w:eastAsia="宋体" w:cs="Times New Roman" w:hint="eastAsia"/>
          <w:sz w:val="24"/>
          <w:szCs w:val="24"/>
        </w:rPr>
        <w:t>年上半年，美团平台上的新增骑手中，来自国家建档立卡贫困户的新增骑手近</w:t>
      </w:r>
      <w:r>
        <w:rPr>
          <w:rFonts w:eastAsia="宋体" w:cs="Times New Roman" w:hint="eastAsia"/>
          <w:sz w:val="24"/>
          <w:szCs w:val="24"/>
        </w:rPr>
        <w:t>8</w:t>
      </w:r>
      <w:r>
        <w:rPr>
          <w:rFonts w:eastAsia="宋体" w:cs="Times New Roman" w:hint="eastAsia"/>
          <w:sz w:val="24"/>
          <w:szCs w:val="24"/>
        </w:rPr>
        <w:t>万人</w:t>
      </w:r>
      <w:r>
        <w:rPr>
          <w:rFonts w:eastAsia="宋体" w:cs="Times New Roman"/>
          <w:sz w:val="24"/>
          <w:szCs w:val="24"/>
          <w:vertAlign w:val="superscript"/>
        </w:rPr>
        <w:t>[</w:t>
      </w:r>
      <w:r>
        <w:rPr>
          <w:rFonts w:eastAsia="宋体" w:cs="Times New Roman"/>
          <w:sz w:val="24"/>
          <w:szCs w:val="24"/>
          <w:vertAlign w:val="superscript"/>
        </w:rPr>
        <w:footnoteReference w:id="47"/>
      </w:r>
      <w:r>
        <w:rPr>
          <w:rFonts w:eastAsia="宋体" w:cs="Times New Roman"/>
          <w:sz w:val="24"/>
          <w:szCs w:val="24"/>
          <w:vertAlign w:val="superscript"/>
        </w:rPr>
        <w:t>]</w:t>
      </w:r>
      <w:r>
        <w:rPr>
          <w:rFonts w:eastAsia="宋体" w:cs="Times New Roman" w:hint="eastAsia"/>
          <w:sz w:val="24"/>
          <w:szCs w:val="24"/>
        </w:rPr>
        <w:t>。</w:t>
      </w:r>
      <w:r>
        <w:rPr>
          <w:rFonts w:eastAsia="宋体" w:cs="Times New Roman" w:hint="eastAsia"/>
          <w:sz w:val="24"/>
          <w:szCs w:val="24"/>
        </w:rPr>
        <w:t>2020</w:t>
      </w:r>
      <w:r>
        <w:rPr>
          <w:rFonts w:eastAsia="宋体" w:cs="Times New Roman" w:hint="eastAsia"/>
          <w:sz w:val="24"/>
          <w:szCs w:val="24"/>
        </w:rPr>
        <w:t>年</w:t>
      </w:r>
      <w:r>
        <w:rPr>
          <w:rFonts w:eastAsia="宋体" w:cs="Times New Roman" w:hint="eastAsia"/>
          <w:sz w:val="24"/>
          <w:szCs w:val="24"/>
        </w:rPr>
        <w:lastRenderedPageBreak/>
        <w:t>微信小程序个人运营者本科以下学历就业者占比达</w:t>
      </w:r>
      <w:r>
        <w:rPr>
          <w:rFonts w:eastAsia="宋体" w:cs="Times New Roman" w:hint="eastAsia"/>
          <w:sz w:val="24"/>
          <w:szCs w:val="24"/>
        </w:rPr>
        <w:t>47%</w:t>
      </w:r>
      <w:r>
        <w:rPr>
          <w:rFonts w:eastAsia="宋体" w:cs="Times New Roman" w:hint="eastAsia"/>
          <w:sz w:val="24"/>
          <w:szCs w:val="24"/>
        </w:rPr>
        <w:t>，微信视频号个人运营者本科以下学历占比达到</w:t>
      </w:r>
      <w:r>
        <w:rPr>
          <w:rFonts w:eastAsia="宋体" w:cs="Times New Roman" w:hint="eastAsia"/>
          <w:sz w:val="24"/>
          <w:szCs w:val="24"/>
        </w:rPr>
        <w:t>46.8%</w:t>
      </w:r>
      <w:r>
        <w:rPr>
          <w:rFonts w:eastAsia="宋体" w:cs="Times New Roman"/>
          <w:sz w:val="24"/>
          <w:szCs w:val="24"/>
          <w:vertAlign w:val="superscript"/>
        </w:rPr>
        <w:t>[</w:t>
      </w:r>
      <w:r>
        <w:rPr>
          <w:rFonts w:eastAsia="宋体" w:cs="Times New Roman"/>
          <w:sz w:val="24"/>
          <w:szCs w:val="24"/>
          <w:vertAlign w:val="superscript"/>
        </w:rPr>
        <w:footnoteReference w:id="48"/>
      </w:r>
      <w:r>
        <w:rPr>
          <w:rFonts w:eastAsia="宋体" w:cs="Times New Roman"/>
          <w:sz w:val="24"/>
          <w:szCs w:val="24"/>
          <w:vertAlign w:val="superscript"/>
        </w:rPr>
        <w:t>]</w:t>
      </w:r>
      <w:r>
        <w:rPr>
          <w:rFonts w:eastAsia="宋体" w:cs="Times New Roman" w:hint="eastAsia"/>
          <w:sz w:val="24"/>
          <w:szCs w:val="24"/>
        </w:rPr>
        <w:t>。数字经济还为社会特定群体提供了就业渠道，许多残疾人在知识技能共享领域找到了就业机会，成为网络主播、设计师、培训师等。由于数字技术打破了传统社会化大生产条件下机器和分工对物理工作空间的限制，劳动者可以更灵活地选择工作场所、工作时间，因而雇佣方式、就业形态都具有了更为多样、更为灵活的特征。对于劳动者而言，在劳动过程中，平台就业者可以自主决定工作时间、工作量，且工作场所不固定。如美团每天工作</w:t>
      </w:r>
      <w:r>
        <w:rPr>
          <w:rFonts w:eastAsia="宋体" w:cs="Times New Roman" w:hint="eastAsia"/>
          <w:sz w:val="24"/>
          <w:szCs w:val="24"/>
        </w:rPr>
        <w:t>4</w:t>
      </w:r>
      <w:r>
        <w:rPr>
          <w:rFonts w:eastAsia="宋体" w:cs="Times New Roman" w:hint="eastAsia"/>
          <w:sz w:val="24"/>
          <w:szCs w:val="24"/>
        </w:rPr>
        <w:t>小时以下的骑手高达</w:t>
      </w:r>
      <w:r>
        <w:rPr>
          <w:rFonts w:eastAsia="宋体" w:cs="Times New Roman" w:hint="eastAsia"/>
          <w:sz w:val="24"/>
          <w:szCs w:val="24"/>
        </w:rPr>
        <w:t>52%</w:t>
      </w:r>
      <w:r>
        <w:rPr>
          <w:rFonts w:eastAsia="宋体" w:cs="Times New Roman" w:hint="eastAsia"/>
          <w:sz w:val="24"/>
          <w:szCs w:val="24"/>
        </w:rPr>
        <w:t>，工作</w:t>
      </w:r>
      <w:r>
        <w:rPr>
          <w:rFonts w:eastAsia="宋体" w:cs="Times New Roman" w:hint="eastAsia"/>
          <w:sz w:val="24"/>
          <w:szCs w:val="24"/>
        </w:rPr>
        <w:t>4-8</w:t>
      </w:r>
      <w:r>
        <w:rPr>
          <w:rFonts w:eastAsia="宋体" w:cs="Times New Roman" w:hint="eastAsia"/>
          <w:sz w:val="24"/>
          <w:szCs w:val="24"/>
        </w:rPr>
        <w:t>小时的骑手占比</w:t>
      </w:r>
      <w:r>
        <w:rPr>
          <w:rFonts w:eastAsia="宋体" w:cs="Times New Roman" w:hint="eastAsia"/>
          <w:sz w:val="24"/>
          <w:szCs w:val="24"/>
        </w:rPr>
        <w:t>39%</w:t>
      </w:r>
      <w:r>
        <w:rPr>
          <w:rFonts w:eastAsia="宋体" w:cs="Times New Roman" w:hint="eastAsia"/>
          <w:sz w:val="24"/>
          <w:szCs w:val="24"/>
        </w:rPr>
        <w:t>。</w:t>
      </w:r>
    </w:p>
    <w:p w14:paraId="222C78D2" w14:textId="77777777" w:rsidR="00602083" w:rsidRDefault="00E51994">
      <w:pPr>
        <w:pStyle w:val="affe"/>
        <w:rPr>
          <w:lang w:val="zh-CN"/>
        </w:rPr>
      </w:pPr>
      <w:r>
        <w:rPr>
          <w:rFonts w:hint="eastAsia"/>
          <w:lang w:val="zh-CN"/>
        </w:rPr>
        <w:t>表</w:t>
      </w:r>
      <w:r>
        <w:rPr>
          <w:rFonts w:hint="eastAsia"/>
          <w:lang w:val="zh-CN"/>
        </w:rPr>
        <w:t xml:space="preserve">2  </w:t>
      </w:r>
      <w:r>
        <w:rPr>
          <w:rFonts w:hint="eastAsia"/>
          <w:lang w:val="zh-CN"/>
        </w:rPr>
        <w:t>灵活就业的不同表现形式</w:t>
      </w:r>
    </w:p>
    <w:tbl>
      <w:tblPr>
        <w:tblStyle w:val="af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6"/>
        <w:gridCol w:w="6256"/>
      </w:tblGrid>
      <w:tr w:rsidR="00602083" w14:paraId="194284DA" w14:textId="77777777">
        <w:trPr>
          <w:jc w:val="center"/>
        </w:trPr>
        <w:tc>
          <w:tcPr>
            <w:tcW w:w="1246" w:type="dxa"/>
          </w:tcPr>
          <w:p w14:paraId="1F23D0BB"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就业形态</w:t>
            </w:r>
          </w:p>
        </w:tc>
        <w:tc>
          <w:tcPr>
            <w:tcW w:w="6256" w:type="dxa"/>
          </w:tcPr>
          <w:p w14:paraId="3C0B5181"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自雇佣、灵活就业、分时就业、非标准就业</w:t>
            </w:r>
          </w:p>
        </w:tc>
      </w:tr>
      <w:tr w:rsidR="00602083" w14:paraId="358F5846" w14:textId="77777777">
        <w:trPr>
          <w:jc w:val="center"/>
        </w:trPr>
        <w:tc>
          <w:tcPr>
            <w:tcW w:w="1246" w:type="dxa"/>
          </w:tcPr>
          <w:p w14:paraId="27EF6182"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法律身份</w:t>
            </w:r>
          </w:p>
        </w:tc>
        <w:tc>
          <w:tcPr>
            <w:tcW w:w="6256" w:type="dxa"/>
          </w:tcPr>
          <w:p w14:paraId="257C888D"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非全日制用工、劳务派遣</w:t>
            </w:r>
          </w:p>
        </w:tc>
      </w:tr>
      <w:tr w:rsidR="00602083" w14:paraId="72A18DB6" w14:textId="77777777">
        <w:trPr>
          <w:jc w:val="center"/>
        </w:trPr>
        <w:tc>
          <w:tcPr>
            <w:tcW w:w="1246" w:type="dxa"/>
          </w:tcPr>
          <w:p w14:paraId="573A411B"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雇佣方式</w:t>
            </w:r>
          </w:p>
        </w:tc>
        <w:tc>
          <w:tcPr>
            <w:tcW w:w="6256" w:type="dxa"/>
          </w:tcPr>
          <w:p w14:paraId="70E0942E"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合同制、派遣制、劳务制、承包制、委任制、临时制</w:t>
            </w:r>
          </w:p>
        </w:tc>
      </w:tr>
      <w:tr w:rsidR="00602083" w14:paraId="62F77E6F" w14:textId="77777777">
        <w:trPr>
          <w:jc w:val="center"/>
        </w:trPr>
        <w:tc>
          <w:tcPr>
            <w:tcW w:w="1246" w:type="dxa"/>
          </w:tcPr>
          <w:p w14:paraId="3AC679A0"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工作时间</w:t>
            </w:r>
          </w:p>
        </w:tc>
        <w:tc>
          <w:tcPr>
            <w:tcW w:w="6256" w:type="dxa"/>
          </w:tcPr>
          <w:p w14:paraId="6B34C85D"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全日制、不分时间、钟点工时、任务工时</w:t>
            </w:r>
          </w:p>
        </w:tc>
      </w:tr>
      <w:tr w:rsidR="00602083" w14:paraId="4D2DDA2E" w14:textId="77777777">
        <w:trPr>
          <w:jc w:val="center"/>
        </w:trPr>
        <w:tc>
          <w:tcPr>
            <w:tcW w:w="1246" w:type="dxa"/>
          </w:tcPr>
          <w:p w14:paraId="4BBA62D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付酬方式</w:t>
            </w:r>
          </w:p>
        </w:tc>
        <w:tc>
          <w:tcPr>
            <w:tcW w:w="6256" w:type="dxa"/>
          </w:tcPr>
          <w:p w14:paraId="486E5E8B"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全新、非全薪、劳务费、佣金、钟点费</w:t>
            </w:r>
          </w:p>
        </w:tc>
      </w:tr>
    </w:tbl>
    <w:p w14:paraId="7317EED3" w14:textId="77777777" w:rsidR="00602083" w:rsidRDefault="00602083">
      <w:pPr>
        <w:pStyle w:val="afffc"/>
      </w:pPr>
      <w:bookmarkStart w:id="58" w:name="_Toc30116"/>
      <w:bookmarkStart w:id="59" w:name="_Toc92734355"/>
    </w:p>
    <w:p w14:paraId="783205DE" w14:textId="77777777" w:rsidR="00602083" w:rsidRDefault="00E51994">
      <w:pPr>
        <w:pStyle w:val="4"/>
      </w:pPr>
      <w:r>
        <w:rPr>
          <w:rFonts w:hint="eastAsia"/>
        </w:rPr>
        <w:t>4</w:t>
      </w:r>
      <w:r>
        <w:t>.</w:t>
      </w:r>
      <w:r>
        <w:rPr>
          <w:rFonts w:hint="eastAsia"/>
        </w:rPr>
        <w:t>制度特征：数字经济就业政策</w:t>
      </w:r>
      <w:bookmarkEnd w:id="58"/>
      <w:bookmarkEnd w:id="59"/>
      <w:r>
        <w:rPr>
          <w:rFonts w:hint="eastAsia"/>
        </w:rPr>
        <w:t>加快调整</w:t>
      </w:r>
    </w:p>
    <w:p w14:paraId="3218012C" w14:textId="77777777" w:rsidR="00602083" w:rsidRDefault="00E51994">
      <w:pPr>
        <w:adjustRightInd w:val="0"/>
        <w:spacing w:line="360" w:lineRule="auto"/>
        <w:ind w:firstLine="480"/>
        <w:rPr>
          <w:rFonts w:eastAsia="宋体"/>
          <w:sz w:val="24"/>
          <w:szCs w:val="24"/>
        </w:rPr>
      </w:pPr>
      <w:r>
        <w:rPr>
          <w:rFonts w:eastAsia="宋体" w:hint="eastAsia"/>
          <w:sz w:val="24"/>
          <w:szCs w:val="24"/>
        </w:rPr>
        <w:t>近年来，我国始终把就业摆在经济社会发展的优先位置，深入实施就业优先战略，持续强化就业优先政策，其中发展数字经济扩大就业容量、提升就业质量成为了稳就业的重要抓手。</w:t>
      </w:r>
      <w:r>
        <w:rPr>
          <w:rFonts w:eastAsia="宋体" w:hint="eastAsia"/>
          <w:sz w:val="24"/>
          <w:szCs w:val="24"/>
        </w:rPr>
        <w:t>2018</w:t>
      </w:r>
      <w:r>
        <w:rPr>
          <w:rFonts w:eastAsia="宋体" w:hint="eastAsia"/>
          <w:sz w:val="24"/>
          <w:szCs w:val="24"/>
        </w:rPr>
        <w:t>年</w:t>
      </w:r>
      <w:r>
        <w:rPr>
          <w:rFonts w:eastAsia="宋体" w:hint="eastAsia"/>
          <w:sz w:val="24"/>
          <w:szCs w:val="24"/>
        </w:rPr>
        <w:t>7</w:t>
      </w:r>
      <w:r>
        <w:rPr>
          <w:rFonts w:eastAsia="宋体" w:hint="eastAsia"/>
          <w:sz w:val="24"/>
          <w:szCs w:val="24"/>
        </w:rPr>
        <w:t>月</w:t>
      </w:r>
      <w:r>
        <w:rPr>
          <w:rFonts w:eastAsia="宋体" w:hint="eastAsia"/>
          <w:sz w:val="24"/>
          <w:szCs w:val="24"/>
        </w:rPr>
        <w:t>31</w:t>
      </w:r>
      <w:r>
        <w:rPr>
          <w:rFonts w:eastAsia="宋体" w:hint="eastAsia"/>
          <w:sz w:val="24"/>
          <w:szCs w:val="24"/>
        </w:rPr>
        <w:t>日，中共中央政治局会议首次提出“六稳”工作，即“稳就业、稳金融、稳外贸、稳外资、稳投资、稳预期”，其中“稳就业”居于首位。</w:t>
      </w:r>
      <w:r>
        <w:rPr>
          <w:rFonts w:eastAsia="宋体" w:hint="eastAsia"/>
          <w:sz w:val="24"/>
          <w:szCs w:val="24"/>
        </w:rPr>
        <w:t>2020</w:t>
      </w:r>
      <w:r>
        <w:rPr>
          <w:rFonts w:eastAsia="宋体" w:hint="eastAsia"/>
          <w:sz w:val="24"/>
          <w:szCs w:val="24"/>
        </w:rPr>
        <w:t>年</w:t>
      </w:r>
      <w:r>
        <w:rPr>
          <w:rFonts w:eastAsia="宋体" w:hint="eastAsia"/>
          <w:sz w:val="24"/>
          <w:szCs w:val="24"/>
        </w:rPr>
        <w:t>4</w:t>
      </w:r>
      <w:r>
        <w:rPr>
          <w:rFonts w:eastAsia="宋体" w:hint="eastAsia"/>
          <w:sz w:val="24"/>
          <w:szCs w:val="24"/>
        </w:rPr>
        <w:t>月</w:t>
      </w:r>
      <w:r>
        <w:rPr>
          <w:rFonts w:eastAsia="宋体" w:hint="eastAsia"/>
          <w:sz w:val="24"/>
          <w:szCs w:val="24"/>
        </w:rPr>
        <w:t>17</w:t>
      </w:r>
      <w:r>
        <w:rPr>
          <w:rFonts w:eastAsia="宋体" w:hint="eastAsia"/>
          <w:sz w:val="24"/>
          <w:szCs w:val="24"/>
        </w:rPr>
        <w:t>日，中共中央政治局首次提出“保居民就业、保基本民生、保市场主体、保粮食能源安全、保产业链供应链稳定、保基层运转”的“六保”工作，就业问题依然处于首要地位。</w:t>
      </w:r>
      <w:r>
        <w:rPr>
          <w:rFonts w:eastAsia="宋体" w:hint="eastAsia"/>
          <w:sz w:val="24"/>
          <w:szCs w:val="24"/>
        </w:rPr>
        <w:t>2018</w:t>
      </w:r>
      <w:r>
        <w:rPr>
          <w:rFonts w:eastAsia="宋体" w:hint="eastAsia"/>
          <w:sz w:val="24"/>
          <w:szCs w:val="24"/>
        </w:rPr>
        <w:t>年</w:t>
      </w:r>
      <w:r>
        <w:rPr>
          <w:rFonts w:eastAsia="宋体" w:hint="eastAsia"/>
          <w:sz w:val="24"/>
          <w:szCs w:val="24"/>
        </w:rPr>
        <w:t>9</w:t>
      </w:r>
      <w:r>
        <w:rPr>
          <w:rFonts w:eastAsia="宋体" w:hint="eastAsia"/>
          <w:sz w:val="24"/>
          <w:szCs w:val="24"/>
        </w:rPr>
        <w:t>月，国家发展改革委等</w:t>
      </w:r>
      <w:r>
        <w:rPr>
          <w:rFonts w:eastAsia="宋体" w:hint="eastAsia"/>
          <w:sz w:val="24"/>
          <w:szCs w:val="24"/>
        </w:rPr>
        <w:t>19</w:t>
      </w:r>
      <w:r>
        <w:rPr>
          <w:rFonts w:eastAsia="宋体" w:hint="eastAsia"/>
          <w:sz w:val="24"/>
          <w:szCs w:val="24"/>
        </w:rPr>
        <w:t>部委发布《关于发展数字经济稳定并扩大就业的指导意见》，提出要抢抓发展机遇，大力发展数字经济稳定并扩大就业，促进经济转型升级和就业提质扩面互促共进。</w:t>
      </w:r>
      <w:r>
        <w:rPr>
          <w:rFonts w:eastAsia="宋体" w:hint="eastAsia"/>
          <w:sz w:val="24"/>
          <w:szCs w:val="24"/>
        </w:rPr>
        <w:t>2020</w:t>
      </w:r>
      <w:r>
        <w:rPr>
          <w:rFonts w:eastAsia="宋体" w:hint="eastAsia"/>
          <w:sz w:val="24"/>
          <w:szCs w:val="24"/>
        </w:rPr>
        <w:t>年</w:t>
      </w:r>
      <w:r>
        <w:rPr>
          <w:rFonts w:eastAsia="宋体" w:hint="eastAsia"/>
          <w:sz w:val="24"/>
          <w:szCs w:val="24"/>
        </w:rPr>
        <w:t>7</w:t>
      </w:r>
      <w:r>
        <w:rPr>
          <w:rFonts w:eastAsia="宋体" w:hint="eastAsia"/>
          <w:sz w:val="24"/>
          <w:szCs w:val="24"/>
        </w:rPr>
        <w:t>月发改委等</w:t>
      </w:r>
      <w:r>
        <w:rPr>
          <w:rFonts w:eastAsia="宋体" w:hint="eastAsia"/>
          <w:sz w:val="24"/>
          <w:szCs w:val="24"/>
        </w:rPr>
        <w:t>13</w:t>
      </w:r>
      <w:r>
        <w:rPr>
          <w:rFonts w:eastAsia="宋体" w:hint="eastAsia"/>
          <w:sz w:val="24"/>
          <w:szCs w:val="24"/>
        </w:rPr>
        <w:t>个部门发布《关于支持新业态新模式健康发展</w:t>
      </w:r>
      <w:r>
        <w:rPr>
          <w:rFonts w:eastAsia="宋体" w:hint="eastAsia"/>
          <w:sz w:val="24"/>
          <w:szCs w:val="24"/>
        </w:rPr>
        <w:t xml:space="preserve"> </w:t>
      </w:r>
      <w:r>
        <w:rPr>
          <w:rFonts w:eastAsia="宋体" w:hint="eastAsia"/>
          <w:sz w:val="24"/>
          <w:szCs w:val="24"/>
        </w:rPr>
        <w:t>激活消费市场带动扩大就业的意见》，强调打造数字经济新优势，鼓励发展新个体经济，开辟就业新空间。</w:t>
      </w:r>
      <w:r>
        <w:rPr>
          <w:rFonts w:eastAsia="宋体" w:hint="eastAsia"/>
          <w:sz w:val="24"/>
          <w:szCs w:val="24"/>
        </w:rPr>
        <w:t>2021</w:t>
      </w:r>
      <w:r>
        <w:rPr>
          <w:rFonts w:eastAsia="宋体" w:hint="eastAsia"/>
          <w:sz w:val="24"/>
          <w:szCs w:val="24"/>
        </w:rPr>
        <w:t>年</w:t>
      </w:r>
      <w:r>
        <w:rPr>
          <w:rFonts w:eastAsia="宋体" w:hint="eastAsia"/>
          <w:sz w:val="24"/>
          <w:szCs w:val="24"/>
        </w:rPr>
        <w:lastRenderedPageBreak/>
        <w:t>7</w:t>
      </w:r>
      <w:r>
        <w:rPr>
          <w:rFonts w:eastAsia="宋体" w:hint="eastAsia"/>
          <w:sz w:val="24"/>
          <w:szCs w:val="24"/>
        </w:rPr>
        <w:t>月，人力资源社会保障部等</w:t>
      </w:r>
      <w:r>
        <w:rPr>
          <w:rFonts w:eastAsia="宋体" w:hint="eastAsia"/>
          <w:sz w:val="24"/>
          <w:szCs w:val="24"/>
        </w:rPr>
        <w:t>8</w:t>
      </w:r>
      <w:r>
        <w:rPr>
          <w:rFonts w:eastAsia="宋体" w:hint="eastAsia"/>
          <w:sz w:val="24"/>
          <w:szCs w:val="24"/>
        </w:rPr>
        <w:t>部门共同印发《关于维护新就业形态劳动者劳动保障权益的指导意见》提出要健全公平就业、劳动报酬、休息、劳动安全、社会保险制度，强化职业伤害保障，完善劳动者诉求表达机制。</w:t>
      </w:r>
    </w:p>
    <w:p w14:paraId="5DF1C1A2" w14:textId="77777777" w:rsidR="00602083" w:rsidRDefault="00E51994">
      <w:pPr>
        <w:pStyle w:val="affe"/>
        <w:rPr>
          <w:lang w:val="zh-CN"/>
        </w:rPr>
      </w:pPr>
      <w:r>
        <w:rPr>
          <w:rFonts w:hint="eastAsia"/>
          <w:lang w:val="zh-CN"/>
        </w:rPr>
        <w:t>表</w:t>
      </w:r>
      <w:r>
        <w:rPr>
          <w:rFonts w:hint="eastAsia"/>
          <w:lang w:val="zh-CN"/>
        </w:rPr>
        <w:t>3</w:t>
      </w:r>
      <w:r>
        <w:rPr>
          <w:lang w:val="zh-CN"/>
        </w:rPr>
        <w:t xml:space="preserve"> </w:t>
      </w:r>
      <w:r>
        <w:rPr>
          <w:rFonts w:hint="eastAsia"/>
          <w:lang w:val="zh-CN"/>
        </w:rPr>
        <w:t xml:space="preserve"> </w:t>
      </w:r>
      <w:r>
        <w:rPr>
          <w:rFonts w:hint="eastAsia"/>
          <w:lang w:val="zh-CN"/>
        </w:rPr>
        <w:t>国家近年来出台的关于促进数字经济就业的政策文件</w:t>
      </w:r>
    </w:p>
    <w:tbl>
      <w:tblPr>
        <w:tblStyle w:val="afe"/>
        <w:tblW w:w="5202"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39"/>
        <w:gridCol w:w="1664"/>
        <w:gridCol w:w="2296"/>
        <w:gridCol w:w="4263"/>
      </w:tblGrid>
      <w:tr w:rsidR="00602083" w14:paraId="4A3762D0" w14:textId="77777777">
        <w:trPr>
          <w:jc w:val="center"/>
        </w:trPr>
        <w:tc>
          <w:tcPr>
            <w:tcW w:w="463" w:type="pct"/>
            <w:vAlign w:val="center"/>
          </w:tcPr>
          <w:p w14:paraId="1E9E5D17"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发布时间</w:t>
            </w:r>
          </w:p>
        </w:tc>
        <w:tc>
          <w:tcPr>
            <w:tcW w:w="918" w:type="pct"/>
            <w:vAlign w:val="center"/>
          </w:tcPr>
          <w:p w14:paraId="3C65EAC9"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发布单位</w:t>
            </w:r>
          </w:p>
        </w:tc>
        <w:tc>
          <w:tcPr>
            <w:tcW w:w="1267" w:type="pct"/>
            <w:vAlign w:val="center"/>
          </w:tcPr>
          <w:p w14:paraId="2CECFA09"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文件名称</w:t>
            </w:r>
          </w:p>
        </w:tc>
        <w:tc>
          <w:tcPr>
            <w:tcW w:w="2352" w:type="pct"/>
            <w:vAlign w:val="center"/>
          </w:tcPr>
          <w:p w14:paraId="1A40FD0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要点内容</w:t>
            </w:r>
          </w:p>
        </w:tc>
      </w:tr>
      <w:tr w:rsidR="00602083" w14:paraId="1B1E374D" w14:textId="77777777">
        <w:trPr>
          <w:jc w:val="center"/>
        </w:trPr>
        <w:tc>
          <w:tcPr>
            <w:tcW w:w="463" w:type="pct"/>
            <w:vAlign w:val="center"/>
          </w:tcPr>
          <w:p w14:paraId="49D68FAB"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2018</w:t>
            </w:r>
            <w:r>
              <w:rPr>
                <w:rFonts w:eastAsia="宋体" w:cs="Times New Roman" w:hint="eastAsia"/>
                <w:sz w:val="21"/>
                <w:szCs w:val="21"/>
              </w:rPr>
              <w:t>年</w:t>
            </w:r>
            <w:r>
              <w:rPr>
                <w:rFonts w:eastAsia="宋体" w:cs="Times New Roman" w:hint="eastAsia"/>
                <w:sz w:val="21"/>
                <w:szCs w:val="21"/>
              </w:rPr>
              <w:t>9</w:t>
            </w:r>
            <w:r>
              <w:rPr>
                <w:rFonts w:eastAsia="宋体" w:cs="Times New Roman" w:hint="eastAsia"/>
                <w:sz w:val="21"/>
                <w:szCs w:val="21"/>
              </w:rPr>
              <w:t>月</w:t>
            </w:r>
          </w:p>
        </w:tc>
        <w:tc>
          <w:tcPr>
            <w:tcW w:w="918" w:type="pct"/>
            <w:vAlign w:val="center"/>
          </w:tcPr>
          <w:p w14:paraId="47525F40"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国家发展改革委、教育部等</w:t>
            </w:r>
            <w:r>
              <w:rPr>
                <w:rFonts w:eastAsia="宋体" w:cs="Times New Roman" w:hint="eastAsia"/>
                <w:sz w:val="21"/>
                <w:szCs w:val="21"/>
              </w:rPr>
              <w:t>19</w:t>
            </w:r>
            <w:r>
              <w:rPr>
                <w:rFonts w:eastAsia="宋体" w:cs="Times New Roman" w:hint="eastAsia"/>
                <w:sz w:val="21"/>
                <w:szCs w:val="21"/>
              </w:rPr>
              <w:t>部委</w:t>
            </w:r>
          </w:p>
        </w:tc>
        <w:tc>
          <w:tcPr>
            <w:tcW w:w="1267" w:type="pct"/>
            <w:vAlign w:val="center"/>
          </w:tcPr>
          <w:p w14:paraId="3E1CE2B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《关于发展数字经济稳定并扩大就业的指导意见》</w:t>
            </w:r>
          </w:p>
        </w:tc>
        <w:tc>
          <w:tcPr>
            <w:tcW w:w="2352" w:type="pct"/>
            <w:vAlign w:val="center"/>
          </w:tcPr>
          <w:p w14:paraId="75320607"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抢抓发展机遇，大力发展数字经济稳定并扩大就业，促进经济转型升级和就业提质扩面互促共进。</w:t>
            </w:r>
          </w:p>
        </w:tc>
      </w:tr>
      <w:tr w:rsidR="00602083" w14:paraId="1C8F6D81" w14:textId="77777777">
        <w:trPr>
          <w:jc w:val="center"/>
        </w:trPr>
        <w:tc>
          <w:tcPr>
            <w:tcW w:w="463" w:type="pct"/>
            <w:vAlign w:val="center"/>
          </w:tcPr>
          <w:p w14:paraId="713C4914"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2018</w:t>
            </w:r>
            <w:r>
              <w:rPr>
                <w:rFonts w:eastAsia="宋体" w:cs="Times New Roman" w:hint="eastAsia"/>
                <w:sz w:val="21"/>
                <w:szCs w:val="21"/>
              </w:rPr>
              <w:t>年</w:t>
            </w:r>
            <w:r>
              <w:rPr>
                <w:rFonts w:eastAsia="宋体" w:cs="Times New Roman" w:hint="eastAsia"/>
                <w:sz w:val="21"/>
                <w:szCs w:val="21"/>
              </w:rPr>
              <w:t>9</w:t>
            </w:r>
            <w:r>
              <w:rPr>
                <w:rFonts w:eastAsia="宋体" w:cs="Times New Roman" w:hint="eastAsia"/>
                <w:sz w:val="21"/>
                <w:szCs w:val="21"/>
              </w:rPr>
              <w:t>月</w:t>
            </w:r>
          </w:p>
        </w:tc>
        <w:tc>
          <w:tcPr>
            <w:tcW w:w="918" w:type="pct"/>
            <w:vAlign w:val="center"/>
          </w:tcPr>
          <w:p w14:paraId="30CC88BD"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国务院</w:t>
            </w:r>
          </w:p>
        </w:tc>
        <w:tc>
          <w:tcPr>
            <w:tcW w:w="1267" w:type="pct"/>
            <w:vAlign w:val="center"/>
          </w:tcPr>
          <w:p w14:paraId="31A699E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《关于推动创新创业高质量发展打造“双创”升级版的意见》</w:t>
            </w:r>
          </w:p>
        </w:tc>
        <w:tc>
          <w:tcPr>
            <w:tcW w:w="2352" w:type="pct"/>
            <w:vAlign w:val="center"/>
          </w:tcPr>
          <w:p w14:paraId="5F6ABADC"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打造“双创”升级版，进一步优化创新创业环境，大幅降低创新创业成本，提升创业带动就业能力，增强科技创新引领作用。</w:t>
            </w:r>
          </w:p>
        </w:tc>
      </w:tr>
      <w:tr w:rsidR="00602083" w14:paraId="30D67E72" w14:textId="77777777">
        <w:trPr>
          <w:jc w:val="center"/>
        </w:trPr>
        <w:tc>
          <w:tcPr>
            <w:tcW w:w="463" w:type="pct"/>
            <w:vAlign w:val="center"/>
          </w:tcPr>
          <w:p w14:paraId="4568B0B3"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2020</w:t>
            </w:r>
            <w:r>
              <w:rPr>
                <w:rFonts w:eastAsia="宋体" w:cs="Times New Roman" w:hint="eastAsia"/>
                <w:sz w:val="21"/>
                <w:szCs w:val="21"/>
              </w:rPr>
              <w:t>年</w:t>
            </w:r>
            <w:r>
              <w:rPr>
                <w:rFonts w:eastAsia="宋体" w:cs="Times New Roman" w:hint="eastAsia"/>
                <w:sz w:val="21"/>
                <w:szCs w:val="21"/>
              </w:rPr>
              <w:t>5</w:t>
            </w:r>
            <w:r>
              <w:rPr>
                <w:rFonts w:eastAsia="宋体" w:cs="Times New Roman" w:hint="eastAsia"/>
                <w:sz w:val="21"/>
                <w:szCs w:val="21"/>
              </w:rPr>
              <w:t>月</w:t>
            </w:r>
          </w:p>
        </w:tc>
        <w:tc>
          <w:tcPr>
            <w:tcW w:w="918" w:type="pct"/>
            <w:vAlign w:val="center"/>
          </w:tcPr>
          <w:p w14:paraId="5C4F9DC4"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人社部、国家扶贫办</w:t>
            </w:r>
          </w:p>
        </w:tc>
        <w:tc>
          <w:tcPr>
            <w:tcW w:w="1267" w:type="pct"/>
            <w:vAlign w:val="center"/>
          </w:tcPr>
          <w:p w14:paraId="756440C4"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《“数字平台经济促进就业助脱贫行动”方案》</w:t>
            </w:r>
          </w:p>
        </w:tc>
        <w:tc>
          <w:tcPr>
            <w:tcW w:w="2352" w:type="pct"/>
            <w:vAlign w:val="center"/>
          </w:tcPr>
          <w:p w14:paraId="221593DE"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依托数字平台经济，为建档立卡贫困劳动力和贫困地区农民工提供多渠道、多形式的灵活就业、居家就业和自主创业机会。</w:t>
            </w:r>
          </w:p>
        </w:tc>
      </w:tr>
      <w:tr w:rsidR="00602083" w14:paraId="0066C487" w14:textId="77777777">
        <w:trPr>
          <w:jc w:val="center"/>
        </w:trPr>
        <w:tc>
          <w:tcPr>
            <w:tcW w:w="463" w:type="pct"/>
            <w:vAlign w:val="center"/>
          </w:tcPr>
          <w:p w14:paraId="2FBDAA3D"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2020</w:t>
            </w:r>
            <w:r>
              <w:rPr>
                <w:rFonts w:eastAsia="宋体" w:cs="Times New Roman" w:hint="eastAsia"/>
                <w:sz w:val="21"/>
                <w:szCs w:val="21"/>
              </w:rPr>
              <w:t>年</w:t>
            </w:r>
            <w:r>
              <w:rPr>
                <w:rFonts w:eastAsia="宋体" w:cs="Times New Roman" w:hint="eastAsia"/>
                <w:sz w:val="21"/>
                <w:szCs w:val="21"/>
              </w:rPr>
              <w:t>7</w:t>
            </w:r>
            <w:r>
              <w:rPr>
                <w:rFonts w:eastAsia="宋体" w:cs="Times New Roman" w:hint="eastAsia"/>
                <w:sz w:val="21"/>
                <w:szCs w:val="21"/>
              </w:rPr>
              <w:t>月</w:t>
            </w:r>
          </w:p>
        </w:tc>
        <w:tc>
          <w:tcPr>
            <w:tcW w:w="918" w:type="pct"/>
            <w:vAlign w:val="center"/>
          </w:tcPr>
          <w:p w14:paraId="1A38C34C"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发改委、网信办、工信部等</w:t>
            </w:r>
            <w:r>
              <w:rPr>
                <w:rFonts w:eastAsia="宋体" w:cs="Times New Roman" w:hint="eastAsia"/>
                <w:sz w:val="21"/>
                <w:szCs w:val="21"/>
              </w:rPr>
              <w:t>13</w:t>
            </w:r>
            <w:r>
              <w:rPr>
                <w:rFonts w:eastAsia="宋体" w:cs="Times New Roman" w:hint="eastAsia"/>
                <w:sz w:val="21"/>
                <w:szCs w:val="21"/>
              </w:rPr>
              <w:t>部委</w:t>
            </w:r>
          </w:p>
        </w:tc>
        <w:tc>
          <w:tcPr>
            <w:tcW w:w="1267" w:type="pct"/>
            <w:vAlign w:val="center"/>
          </w:tcPr>
          <w:p w14:paraId="0EA90BFC"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《关于支持新业态新模式健康发展</w:t>
            </w:r>
            <w:r>
              <w:rPr>
                <w:rFonts w:eastAsia="宋体" w:cs="Times New Roman" w:hint="eastAsia"/>
                <w:sz w:val="21"/>
                <w:szCs w:val="21"/>
              </w:rPr>
              <w:t xml:space="preserve"> </w:t>
            </w:r>
            <w:r>
              <w:rPr>
                <w:rFonts w:eastAsia="宋体" w:cs="Times New Roman" w:hint="eastAsia"/>
                <w:sz w:val="21"/>
                <w:szCs w:val="21"/>
              </w:rPr>
              <w:t>激活消费市场带动扩大就业的意见》</w:t>
            </w:r>
          </w:p>
        </w:tc>
        <w:tc>
          <w:tcPr>
            <w:tcW w:w="2352" w:type="pct"/>
            <w:vAlign w:val="center"/>
          </w:tcPr>
          <w:p w14:paraId="063D8011"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打造数字经济新优势，鼓励发展新个体经济，开辟就业新空间。</w:t>
            </w:r>
          </w:p>
        </w:tc>
      </w:tr>
      <w:tr w:rsidR="00602083" w14:paraId="5F8E48D6" w14:textId="77777777">
        <w:trPr>
          <w:jc w:val="center"/>
        </w:trPr>
        <w:tc>
          <w:tcPr>
            <w:tcW w:w="463" w:type="pct"/>
            <w:vAlign w:val="center"/>
          </w:tcPr>
          <w:p w14:paraId="018E12F0"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2020</w:t>
            </w:r>
            <w:r>
              <w:rPr>
                <w:rFonts w:eastAsia="宋体" w:cs="Times New Roman" w:hint="eastAsia"/>
                <w:sz w:val="21"/>
                <w:szCs w:val="21"/>
              </w:rPr>
              <w:t>年</w:t>
            </w:r>
            <w:r>
              <w:rPr>
                <w:rFonts w:eastAsia="宋体" w:cs="Times New Roman" w:hint="eastAsia"/>
                <w:sz w:val="21"/>
                <w:szCs w:val="21"/>
              </w:rPr>
              <w:t>7</w:t>
            </w:r>
            <w:r>
              <w:rPr>
                <w:rFonts w:eastAsia="宋体" w:cs="Times New Roman" w:hint="eastAsia"/>
                <w:sz w:val="21"/>
                <w:szCs w:val="21"/>
              </w:rPr>
              <w:t>月</w:t>
            </w:r>
          </w:p>
        </w:tc>
        <w:tc>
          <w:tcPr>
            <w:tcW w:w="918" w:type="pct"/>
            <w:vAlign w:val="center"/>
          </w:tcPr>
          <w:p w14:paraId="427934E4"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国务院办公厅</w:t>
            </w:r>
          </w:p>
        </w:tc>
        <w:tc>
          <w:tcPr>
            <w:tcW w:w="1267" w:type="pct"/>
            <w:vAlign w:val="center"/>
          </w:tcPr>
          <w:p w14:paraId="3EEEDD6A"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《关于支持多渠道灵活就业的意见》</w:t>
            </w:r>
          </w:p>
        </w:tc>
        <w:tc>
          <w:tcPr>
            <w:tcW w:w="2352" w:type="pct"/>
            <w:vAlign w:val="center"/>
          </w:tcPr>
          <w:p w14:paraId="6CB10EB6"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支持发展新就业形势，并通过优化自主创业环境和加大保障支持，促进灵活就业的健康发展。</w:t>
            </w:r>
          </w:p>
        </w:tc>
      </w:tr>
      <w:tr w:rsidR="00602083" w14:paraId="4D043C57" w14:textId="77777777">
        <w:trPr>
          <w:jc w:val="center"/>
        </w:trPr>
        <w:tc>
          <w:tcPr>
            <w:tcW w:w="463" w:type="pct"/>
            <w:vAlign w:val="center"/>
          </w:tcPr>
          <w:p w14:paraId="708D2928"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2021</w:t>
            </w:r>
            <w:r>
              <w:rPr>
                <w:rFonts w:eastAsia="宋体" w:cs="Times New Roman" w:hint="eastAsia"/>
                <w:sz w:val="21"/>
                <w:szCs w:val="21"/>
              </w:rPr>
              <w:t>年</w:t>
            </w:r>
            <w:r>
              <w:rPr>
                <w:rFonts w:eastAsia="宋体" w:cs="Times New Roman" w:hint="eastAsia"/>
                <w:sz w:val="21"/>
                <w:szCs w:val="21"/>
              </w:rPr>
              <w:t>4</w:t>
            </w:r>
            <w:r>
              <w:rPr>
                <w:rFonts w:eastAsia="宋体" w:cs="Times New Roman" w:hint="eastAsia"/>
                <w:sz w:val="21"/>
                <w:szCs w:val="21"/>
              </w:rPr>
              <w:t>月</w:t>
            </w:r>
          </w:p>
        </w:tc>
        <w:tc>
          <w:tcPr>
            <w:tcW w:w="918" w:type="pct"/>
            <w:vAlign w:val="center"/>
          </w:tcPr>
          <w:p w14:paraId="7270E78D"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人社部</w:t>
            </w:r>
          </w:p>
        </w:tc>
        <w:tc>
          <w:tcPr>
            <w:tcW w:w="1267" w:type="pct"/>
            <w:vAlign w:val="center"/>
          </w:tcPr>
          <w:p w14:paraId="70700E8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《提升全民数字技能工作方案》</w:t>
            </w:r>
          </w:p>
        </w:tc>
        <w:tc>
          <w:tcPr>
            <w:tcW w:w="2352" w:type="pct"/>
            <w:vAlign w:val="center"/>
          </w:tcPr>
          <w:p w14:paraId="15E9FFBA"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面向新技能新职业，重点开展人工智能、大数据、云计算等数字技能培训；遴选推荐一批互联网职业培训平台。</w:t>
            </w:r>
          </w:p>
        </w:tc>
      </w:tr>
      <w:tr w:rsidR="00602083" w14:paraId="4BA8C241" w14:textId="77777777">
        <w:trPr>
          <w:jc w:val="center"/>
        </w:trPr>
        <w:tc>
          <w:tcPr>
            <w:tcW w:w="463" w:type="pct"/>
            <w:vAlign w:val="center"/>
          </w:tcPr>
          <w:p w14:paraId="368BB12B"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2021</w:t>
            </w:r>
            <w:r>
              <w:rPr>
                <w:rFonts w:eastAsia="宋体" w:cs="Times New Roman" w:hint="eastAsia"/>
                <w:sz w:val="21"/>
                <w:szCs w:val="21"/>
              </w:rPr>
              <w:t>年</w:t>
            </w:r>
            <w:r>
              <w:rPr>
                <w:rFonts w:eastAsia="宋体" w:cs="Times New Roman" w:hint="eastAsia"/>
                <w:sz w:val="21"/>
                <w:szCs w:val="21"/>
              </w:rPr>
              <w:t>6</w:t>
            </w:r>
            <w:r>
              <w:rPr>
                <w:rFonts w:eastAsia="宋体" w:cs="Times New Roman" w:hint="eastAsia"/>
                <w:sz w:val="21"/>
                <w:szCs w:val="21"/>
              </w:rPr>
              <w:t>月</w:t>
            </w:r>
          </w:p>
        </w:tc>
        <w:tc>
          <w:tcPr>
            <w:tcW w:w="918" w:type="pct"/>
            <w:vAlign w:val="center"/>
          </w:tcPr>
          <w:p w14:paraId="2818971D"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交通部、发改委、邮政局、人社部等</w:t>
            </w:r>
            <w:r>
              <w:rPr>
                <w:rFonts w:eastAsia="宋体" w:cs="Times New Roman" w:hint="eastAsia"/>
                <w:sz w:val="21"/>
                <w:szCs w:val="21"/>
              </w:rPr>
              <w:t>7</w:t>
            </w:r>
            <w:r>
              <w:rPr>
                <w:rFonts w:eastAsia="宋体" w:cs="Times New Roman" w:hint="eastAsia"/>
                <w:sz w:val="21"/>
                <w:szCs w:val="21"/>
              </w:rPr>
              <w:t>部委</w:t>
            </w:r>
          </w:p>
        </w:tc>
        <w:tc>
          <w:tcPr>
            <w:tcW w:w="1267" w:type="pct"/>
            <w:vAlign w:val="center"/>
          </w:tcPr>
          <w:p w14:paraId="5269FADE"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《关于做好快递员群体合法权益保障工作的意见》</w:t>
            </w:r>
          </w:p>
        </w:tc>
        <w:tc>
          <w:tcPr>
            <w:tcW w:w="2352" w:type="pct"/>
            <w:vAlign w:val="center"/>
          </w:tcPr>
          <w:p w14:paraId="46C9ED7E"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要着力解决好快递员群体最关心、最直接、最现实的合法权益问题，保障在劳动就业、社会保险、医疗卫生、职业培训等方面应享有的法定权利。</w:t>
            </w:r>
          </w:p>
        </w:tc>
      </w:tr>
      <w:tr w:rsidR="00602083" w14:paraId="02C475BD" w14:textId="77777777">
        <w:trPr>
          <w:jc w:val="center"/>
        </w:trPr>
        <w:tc>
          <w:tcPr>
            <w:tcW w:w="463" w:type="pct"/>
            <w:vAlign w:val="center"/>
          </w:tcPr>
          <w:p w14:paraId="24311C6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2021</w:t>
            </w:r>
            <w:r>
              <w:rPr>
                <w:rFonts w:eastAsia="宋体" w:cs="Times New Roman" w:hint="eastAsia"/>
                <w:sz w:val="21"/>
                <w:szCs w:val="21"/>
              </w:rPr>
              <w:t>年</w:t>
            </w:r>
            <w:r>
              <w:rPr>
                <w:rFonts w:eastAsia="宋体" w:cs="Times New Roman" w:hint="eastAsia"/>
                <w:sz w:val="21"/>
                <w:szCs w:val="21"/>
              </w:rPr>
              <w:t>7</w:t>
            </w:r>
            <w:r>
              <w:rPr>
                <w:rFonts w:eastAsia="宋体" w:cs="Times New Roman" w:hint="eastAsia"/>
                <w:sz w:val="21"/>
                <w:szCs w:val="21"/>
              </w:rPr>
              <w:t>月</w:t>
            </w:r>
          </w:p>
          <w:p w14:paraId="0B1B0DEF" w14:textId="77777777" w:rsidR="00602083" w:rsidRDefault="00602083">
            <w:pPr>
              <w:adjustRightInd w:val="0"/>
              <w:snapToGrid w:val="0"/>
              <w:spacing w:before="100" w:line="312" w:lineRule="auto"/>
              <w:ind w:firstLineChars="0" w:firstLine="0"/>
              <w:jc w:val="center"/>
              <w:rPr>
                <w:rFonts w:eastAsia="宋体" w:cs="Times New Roman"/>
                <w:sz w:val="21"/>
                <w:szCs w:val="21"/>
              </w:rPr>
            </w:pPr>
          </w:p>
        </w:tc>
        <w:tc>
          <w:tcPr>
            <w:tcW w:w="918" w:type="pct"/>
            <w:vAlign w:val="center"/>
          </w:tcPr>
          <w:p w14:paraId="27F248FE"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市场监管总局等</w:t>
            </w:r>
            <w:r>
              <w:rPr>
                <w:rFonts w:eastAsia="宋体" w:cs="Times New Roman" w:hint="eastAsia"/>
                <w:sz w:val="21"/>
                <w:szCs w:val="21"/>
              </w:rPr>
              <w:t>7</w:t>
            </w:r>
            <w:r>
              <w:rPr>
                <w:rFonts w:eastAsia="宋体" w:cs="Times New Roman" w:hint="eastAsia"/>
                <w:sz w:val="21"/>
                <w:szCs w:val="21"/>
              </w:rPr>
              <w:t>部门</w:t>
            </w:r>
          </w:p>
        </w:tc>
        <w:tc>
          <w:tcPr>
            <w:tcW w:w="1267" w:type="pct"/>
            <w:vAlign w:val="center"/>
          </w:tcPr>
          <w:p w14:paraId="14E6F079"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《关于落实网络餐饮平台责任切实维护外卖送餐员权益的指导意见》</w:t>
            </w:r>
          </w:p>
        </w:tc>
        <w:tc>
          <w:tcPr>
            <w:tcW w:w="2352" w:type="pct"/>
            <w:vAlign w:val="center"/>
          </w:tcPr>
          <w:p w14:paraId="7AA40E45"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保障劳动收入方面，要求平台建立与工作任务、劳动强度相匹配的收入分配机制。</w:t>
            </w:r>
          </w:p>
        </w:tc>
      </w:tr>
      <w:tr w:rsidR="00602083" w14:paraId="2AEE4EBF" w14:textId="77777777">
        <w:trPr>
          <w:jc w:val="center"/>
        </w:trPr>
        <w:tc>
          <w:tcPr>
            <w:tcW w:w="463" w:type="pct"/>
            <w:vAlign w:val="center"/>
          </w:tcPr>
          <w:p w14:paraId="45E59320"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2021</w:t>
            </w:r>
            <w:r>
              <w:rPr>
                <w:rFonts w:eastAsia="宋体" w:cs="Times New Roman" w:hint="eastAsia"/>
                <w:sz w:val="21"/>
                <w:szCs w:val="21"/>
              </w:rPr>
              <w:lastRenderedPageBreak/>
              <w:t>年</w:t>
            </w:r>
            <w:r>
              <w:rPr>
                <w:rFonts w:eastAsia="宋体" w:cs="Times New Roman" w:hint="eastAsia"/>
                <w:sz w:val="21"/>
                <w:szCs w:val="21"/>
              </w:rPr>
              <w:t>7</w:t>
            </w:r>
            <w:r>
              <w:rPr>
                <w:rFonts w:eastAsia="宋体" w:cs="Times New Roman" w:hint="eastAsia"/>
                <w:sz w:val="21"/>
                <w:szCs w:val="21"/>
              </w:rPr>
              <w:t>月</w:t>
            </w:r>
          </w:p>
        </w:tc>
        <w:tc>
          <w:tcPr>
            <w:tcW w:w="918" w:type="pct"/>
            <w:vAlign w:val="center"/>
          </w:tcPr>
          <w:p w14:paraId="134A06B3"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lastRenderedPageBreak/>
              <w:t>人力资源社会</w:t>
            </w:r>
            <w:r>
              <w:rPr>
                <w:rFonts w:eastAsia="宋体" w:cs="Times New Roman" w:hint="eastAsia"/>
                <w:sz w:val="21"/>
                <w:szCs w:val="21"/>
              </w:rPr>
              <w:lastRenderedPageBreak/>
              <w:t>保障部、国家发展改革委等</w:t>
            </w:r>
            <w:r>
              <w:rPr>
                <w:rFonts w:eastAsia="宋体" w:cs="Times New Roman" w:hint="eastAsia"/>
                <w:sz w:val="21"/>
                <w:szCs w:val="21"/>
              </w:rPr>
              <w:t>8</w:t>
            </w:r>
            <w:r>
              <w:rPr>
                <w:rFonts w:eastAsia="宋体" w:cs="Times New Roman" w:hint="eastAsia"/>
                <w:sz w:val="21"/>
                <w:szCs w:val="21"/>
              </w:rPr>
              <w:t>部门</w:t>
            </w:r>
          </w:p>
        </w:tc>
        <w:tc>
          <w:tcPr>
            <w:tcW w:w="1267" w:type="pct"/>
            <w:vAlign w:val="center"/>
          </w:tcPr>
          <w:p w14:paraId="19EFC3DE"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lastRenderedPageBreak/>
              <w:t>《关于维护新就业形</w:t>
            </w:r>
            <w:r>
              <w:rPr>
                <w:rFonts w:eastAsia="宋体" w:cs="Times New Roman" w:hint="eastAsia"/>
                <w:sz w:val="21"/>
                <w:szCs w:val="21"/>
              </w:rPr>
              <w:lastRenderedPageBreak/>
              <w:t>态劳动者劳动保障权益的指导意见》</w:t>
            </w:r>
          </w:p>
        </w:tc>
        <w:tc>
          <w:tcPr>
            <w:tcW w:w="2352" w:type="pct"/>
            <w:vAlign w:val="center"/>
          </w:tcPr>
          <w:p w14:paraId="1E39D007"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lastRenderedPageBreak/>
              <w:t>健全公平就业、劳动报酬、休息、劳动安</w:t>
            </w:r>
            <w:r>
              <w:rPr>
                <w:rFonts w:eastAsia="宋体" w:cs="Times New Roman" w:hint="eastAsia"/>
                <w:sz w:val="21"/>
                <w:szCs w:val="21"/>
              </w:rPr>
              <w:lastRenderedPageBreak/>
              <w:t>全、社会保险制度，强化职业伤害保障，完善劳动者诉求表达机制。</w:t>
            </w:r>
          </w:p>
        </w:tc>
      </w:tr>
      <w:tr w:rsidR="00602083" w14:paraId="785E2417" w14:textId="77777777">
        <w:trPr>
          <w:jc w:val="center"/>
        </w:trPr>
        <w:tc>
          <w:tcPr>
            <w:tcW w:w="463" w:type="pct"/>
            <w:vAlign w:val="center"/>
          </w:tcPr>
          <w:p w14:paraId="134FC3B1"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lastRenderedPageBreak/>
              <w:t>2021</w:t>
            </w:r>
            <w:r>
              <w:rPr>
                <w:rFonts w:eastAsia="宋体" w:cs="Times New Roman" w:hint="eastAsia"/>
                <w:sz w:val="21"/>
                <w:szCs w:val="21"/>
              </w:rPr>
              <w:t>年</w:t>
            </w:r>
            <w:r>
              <w:rPr>
                <w:rFonts w:eastAsia="宋体" w:cs="Times New Roman" w:hint="eastAsia"/>
                <w:sz w:val="21"/>
                <w:szCs w:val="21"/>
              </w:rPr>
              <w:t>7</w:t>
            </w:r>
            <w:r>
              <w:rPr>
                <w:rFonts w:eastAsia="宋体" w:cs="Times New Roman" w:hint="eastAsia"/>
                <w:sz w:val="21"/>
                <w:szCs w:val="21"/>
              </w:rPr>
              <w:t>月</w:t>
            </w:r>
          </w:p>
        </w:tc>
        <w:tc>
          <w:tcPr>
            <w:tcW w:w="918" w:type="pct"/>
            <w:vAlign w:val="center"/>
          </w:tcPr>
          <w:p w14:paraId="761309A8"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全国总工会</w:t>
            </w:r>
          </w:p>
        </w:tc>
        <w:tc>
          <w:tcPr>
            <w:tcW w:w="1267" w:type="pct"/>
            <w:vAlign w:val="center"/>
          </w:tcPr>
          <w:p w14:paraId="53666040"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《关于切实维护新就业形态劳动者劳动保障权益的意见》</w:t>
            </w:r>
          </w:p>
        </w:tc>
        <w:tc>
          <w:tcPr>
            <w:tcW w:w="2352" w:type="pct"/>
            <w:vAlign w:val="center"/>
          </w:tcPr>
          <w:p w14:paraId="19875896" w14:textId="77777777" w:rsidR="00602083" w:rsidRDefault="00E51994">
            <w:pPr>
              <w:adjustRightInd w:val="0"/>
              <w:snapToGrid w:val="0"/>
              <w:spacing w:before="100" w:line="312" w:lineRule="auto"/>
              <w:ind w:firstLineChars="0" w:firstLine="0"/>
              <w:jc w:val="center"/>
              <w:rPr>
                <w:rFonts w:eastAsia="宋体" w:cs="Times New Roman"/>
                <w:sz w:val="21"/>
                <w:szCs w:val="21"/>
              </w:rPr>
            </w:pPr>
            <w:r>
              <w:rPr>
                <w:rFonts w:eastAsia="宋体" w:cs="Times New Roman" w:hint="eastAsia"/>
                <w:sz w:val="21"/>
                <w:szCs w:val="21"/>
              </w:rPr>
              <w:t>推动建立健全新就业形态劳动者权益保障机制，不断增强新就业形态劳动者的获得感、幸福感、安全感。</w:t>
            </w:r>
          </w:p>
        </w:tc>
      </w:tr>
    </w:tbl>
    <w:p w14:paraId="4E9B9000" w14:textId="77777777" w:rsidR="00602083" w:rsidRDefault="00E51994">
      <w:pPr>
        <w:pStyle w:val="afffe"/>
      </w:pPr>
      <w:bookmarkStart w:id="60" w:name="_Toc29352"/>
      <w:bookmarkStart w:id="61" w:name="_Toc5815"/>
      <w:r>
        <w:rPr>
          <w:rFonts w:hint="eastAsia"/>
        </w:rPr>
        <w:t>资料来源：根据网络公开信息整理</w:t>
      </w:r>
    </w:p>
    <w:p w14:paraId="40F01D67" w14:textId="77777777" w:rsidR="00602083" w:rsidRDefault="00E51994">
      <w:pPr>
        <w:pStyle w:val="3"/>
        <w:spacing w:before="192" w:after="240"/>
        <w:ind w:firstLine="480"/>
      </w:pPr>
      <w:bookmarkStart w:id="62" w:name="_Toc92734356"/>
      <w:bookmarkStart w:id="63" w:name="_Toc93925273"/>
      <w:r>
        <w:rPr>
          <w:rFonts w:hint="eastAsia"/>
        </w:rPr>
        <w:t>（二）数字经济发展促进就业的积极影响</w:t>
      </w:r>
      <w:bookmarkEnd w:id="60"/>
      <w:bookmarkEnd w:id="61"/>
      <w:bookmarkEnd w:id="62"/>
      <w:bookmarkEnd w:id="63"/>
    </w:p>
    <w:p w14:paraId="56A4C43F"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党的十九大报告明确指出，要“实现更高质量和更充分就业”。数字经济作为集聚创新要素最多、应用前景最广、辐射带动作用最强的创新领域，将通过推动高质量发展强化产业就业吸纳能力，催生创新业态创造新的就业岗位，技术赋能提高劳动力市场效率。</w:t>
      </w:r>
    </w:p>
    <w:p w14:paraId="0A0977D6" w14:textId="77777777" w:rsidR="00602083" w:rsidRDefault="00E51994">
      <w:pPr>
        <w:pStyle w:val="4"/>
      </w:pPr>
      <w:bookmarkStart w:id="64" w:name="_Toc6262"/>
      <w:bookmarkStart w:id="65" w:name="_Toc92734357"/>
      <w:bookmarkStart w:id="66" w:name="_Toc14010"/>
      <w:r>
        <w:rPr>
          <w:rFonts w:hint="eastAsia"/>
        </w:rPr>
        <w:t>1</w:t>
      </w:r>
      <w:r>
        <w:t>.</w:t>
      </w:r>
      <w:r>
        <w:rPr>
          <w:rFonts w:hint="eastAsia"/>
        </w:rPr>
        <w:t>数字经济有效扩大就业总量</w:t>
      </w:r>
      <w:bookmarkEnd w:id="64"/>
      <w:bookmarkEnd w:id="65"/>
      <w:bookmarkEnd w:id="66"/>
    </w:p>
    <w:p w14:paraId="28470324"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一是培育新动能创造新岗位新需求。</w:t>
      </w:r>
      <w:r>
        <w:rPr>
          <w:rFonts w:eastAsia="宋体" w:cs="Times New Roman" w:hint="eastAsia"/>
          <w:sz w:val="24"/>
          <w:szCs w:val="24"/>
        </w:rPr>
        <w:t>数字经济发展有力推动产业结构优化升级、促进新动能发展壮大，释放出更多新兴岗位。一的新技术带来新岗位。数字技术将会催生包括软硬件开发、技术架构、实施运维等多种技术密集型岗位。</w:t>
      </w:r>
      <w:bookmarkStart w:id="67" w:name="_Hlk92732325"/>
      <w:r>
        <w:rPr>
          <w:rFonts w:eastAsia="宋体" w:cs="Times New Roman" w:hint="eastAsia"/>
          <w:sz w:val="24"/>
          <w:szCs w:val="24"/>
        </w:rPr>
        <w:t>我国信息传输、软件和信息技术服务业的岗位数量从</w:t>
      </w:r>
      <w:r>
        <w:rPr>
          <w:rFonts w:eastAsia="宋体" w:cs="Times New Roman" w:hint="eastAsia"/>
          <w:sz w:val="24"/>
          <w:szCs w:val="24"/>
        </w:rPr>
        <w:t>2010</w:t>
      </w:r>
      <w:r>
        <w:rPr>
          <w:rFonts w:eastAsia="宋体" w:cs="Times New Roman" w:hint="eastAsia"/>
          <w:sz w:val="24"/>
          <w:szCs w:val="24"/>
        </w:rPr>
        <w:t>年的</w:t>
      </w:r>
      <w:r>
        <w:rPr>
          <w:rFonts w:eastAsia="宋体" w:cs="Times New Roman" w:hint="eastAsia"/>
          <w:sz w:val="24"/>
          <w:szCs w:val="24"/>
        </w:rPr>
        <w:t>185.8</w:t>
      </w:r>
      <w:r>
        <w:rPr>
          <w:rFonts w:eastAsia="宋体" w:cs="Times New Roman" w:hint="eastAsia"/>
          <w:sz w:val="24"/>
          <w:szCs w:val="24"/>
        </w:rPr>
        <w:t>万增长到</w:t>
      </w:r>
      <w:r>
        <w:rPr>
          <w:rFonts w:eastAsia="宋体" w:cs="Times New Roman" w:hint="eastAsia"/>
          <w:sz w:val="24"/>
          <w:szCs w:val="24"/>
        </w:rPr>
        <w:t>2019</w:t>
      </w:r>
      <w:r>
        <w:rPr>
          <w:rFonts w:eastAsia="宋体" w:cs="Times New Roman" w:hint="eastAsia"/>
          <w:sz w:val="24"/>
          <w:szCs w:val="24"/>
        </w:rPr>
        <w:t>年的</w:t>
      </w:r>
      <w:r>
        <w:rPr>
          <w:rFonts w:eastAsia="宋体" w:cs="Times New Roman" w:hint="eastAsia"/>
          <w:sz w:val="24"/>
          <w:szCs w:val="24"/>
        </w:rPr>
        <w:t>455.3</w:t>
      </w:r>
      <w:r>
        <w:rPr>
          <w:rFonts w:eastAsia="宋体" w:cs="Times New Roman" w:hint="eastAsia"/>
          <w:sz w:val="24"/>
          <w:szCs w:val="24"/>
        </w:rPr>
        <w:t>万，增长率超</w:t>
      </w:r>
      <w:r>
        <w:rPr>
          <w:rFonts w:eastAsia="宋体" w:cs="Times New Roman" w:hint="eastAsia"/>
          <w:sz w:val="24"/>
          <w:szCs w:val="24"/>
        </w:rPr>
        <w:t>145%</w:t>
      </w:r>
      <w:r>
        <w:rPr>
          <w:rFonts w:eastAsia="宋体" w:cs="Times New Roman" w:hint="eastAsia"/>
          <w:sz w:val="24"/>
          <w:szCs w:val="24"/>
        </w:rPr>
        <w:t>；</w:t>
      </w:r>
      <w:bookmarkEnd w:id="67"/>
      <w:r>
        <w:rPr>
          <w:rFonts w:eastAsia="宋体" w:cs="Times New Roman" w:hint="eastAsia"/>
          <w:sz w:val="24"/>
          <w:szCs w:val="24"/>
        </w:rPr>
        <w:t>二是新业态创造新职业。随着数字化向各个行业的全面渗透，创造出数字经济时代的新型岗位，既包括传统职业在数字经济时代的再创新，如无人机驾驶员等，也包括数字经济新业态催生的全新岗位，如网约配送员、全媒体运营等。自</w:t>
      </w:r>
      <w:r>
        <w:rPr>
          <w:rFonts w:eastAsia="宋体" w:cs="Times New Roman" w:hint="eastAsia"/>
          <w:sz w:val="24"/>
          <w:szCs w:val="24"/>
        </w:rPr>
        <w:t>2019</w:t>
      </w:r>
      <w:r>
        <w:rPr>
          <w:rFonts w:eastAsia="宋体" w:cs="Times New Roman" w:hint="eastAsia"/>
          <w:sz w:val="24"/>
          <w:szCs w:val="24"/>
        </w:rPr>
        <w:t>年以来，人社部先后发布了</w:t>
      </w:r>
      <w:r>
        <w:rPr>
          <w:rFonts w:eastAsia="宋体" w:cs="Times New Roman" w:hint="eastAsia"/>
          <w:sz w:val="24"/>
          <w:szCs w:val="24"/>
        </w:rPr>
        <w:t>4</w:t>
      </w:r>
      <w:r>
        <w:rPr>
          <w:rFonts w:eastAsia="宋体" w:cs="Times New Roman" w:hint="eastAsia"/>
          <w:sz w:val="24"/>
          <w:szCs w:val="24"/>
        </w:rPr>
        <w:t>批共</w:t>
      </w:r>
      <w:r>
        <w:rPr>
          <w:rFonts w:eastAsia="宋体" w:cs="Times New Roman" w:hint="eastAsia"/>
          <w:sz w:val="24"/>
          <w:szCs w:val="24"/>
        </w:rPr>
        <w:t>56</w:t>
      </w:r>
      <w:r>
        <w:rPr>
          <w:rFonts w:eastAsia="宋体" w:cs="Times New Roman" w:hint="eastAsia"/>
          <w:sz w:val="24"/>
          <w:szCs w:val="24"/>
        </w:rPr>
        <w:t>种新职业。三是产生就业带动作用。有研究显示，一个城市中每增加一个以数字经济为代表的高科技职位，最终都会在该城市的高科技部门之外创造五个工作岗位，包括技术性职业（律师，教师，护士）和非技术性职业（服务员，美发师，木匠）。例如苹果公司在库比蒂诺拥有</w:t>
      </w:r>
      <w:r>
        <w:rPr>
          <w:rFonts w:eastAsia="宋体" w:cs="Times New Roman" w:hint="eastAsia"/>
          <w:sz w:val="24"/>
          <w:szCs w:val="24"/>
        </w:rPr>
        <w:t>12000</w:t>
      </w:r>
      <w:r>
        <w:rPr>
          <w:rFonts w:eastAsia="宋体" w:cs="Times New Roman" w:hint="eastAsia"/>
          <w:sz w:val="24"/>
          <w:szCs w:val="24"/>
        </w:rPr>
        <w:t>名员工，同时在整个大都市地区创造了</w:t>
      </w:r>
      <w:r>
        <w:rPr>
          <w:rFonts w:eastAsia="宋体" w:cs="Times New Roman" w:hint="eastAsia"/>
          <w:sz w:val="24"/>
          <w:szCs w:val="24"/>
        </w:rPr>
        <w:t>60000</w:t>
      </w:r>
      <w:r>
        <w:rPr>
          <w:rFonts w:eastAsia="宋体" w:cs="Times New Roman" w:hint="eastAsia"/>
          <w:sz w:val="24"/>
          <w:szCs w:val="24"/>
        </w:rPr>
        <w:t>多个额外服务工作岗位，包括</w:t>
      </w:r>
      <w:r>
        <w:rPr>
          <w:rFonts w:eastAsia="宋体" w:cs="Times New Roman" w:hint="eastAsia"/>
          <w:sz w:val="24"/>
          <w:szCs w:val="24"/>
        </w:rPr>
        <w:t>36000</w:t>
      </w:r>
      <w:r>
        <w:rPr>
          <w:rFonts w:eastAsia="宋体" w:cs="Times New Roman" w:hint="eastAsia"/>
          <w:sz w:val="24"/>
          <w:szCs w:val="24"/>
        </w:rPr>
        <w:t>个非技术人员和</w:t>
      </w:r>
      <w:r>
        <w:rPr>
          <w:rFonts w:eastAsia="宋体" w:cs="Times New Roman" w:hint="eastAsia"/>
          <w:sz w:val="24"/>
          <w:szCs w:val="24"/>
        </w:rPr>
        <w:t>24000</w:t>
      </w:r>
      <w:r>
        <w:rPr>
          <w:rFonts w:eastAsia="宋体" w:cs="Times New Roman" w:hint="eastAsia"/>
          <w:sz w:val="24"/>
          <w:szCs w:val="24"/>
        </w:rPr>
        <w:t>个技术人员。相比之下，在美国，每增加一个制造业的岗位，仅能增加</w:t>
      </w:r>
      <w:r>
        <w:rPr>
          <w:rFonts w:eastAsia="宋体" w:cs="Times New Roman" w:hint="eastAsia"/>
          <w:sz w:val="24"/>
          <w:szCs w:val="24"/>
        </w:rPr>
        <w:t>1.6</w:t>
      </w:r>
      <w:r>
        <w:rPr>
          <w:rFonts w:eastAsia="宋体" w:cs="Times New Roman" w:hint="eastAsia"/>
          <w:sz w:val="24"/>
          <w:szCs w:val="24"/>
        </w:rPr>
        <w:t>个带动就业</w:t>
      </w:r>
      <w:r>
        <w:rPr>
          <w:rFonts w:eastAsia="宋体" w:cs="Times New Roman"/>
          <w:sz w:val="24"/>
          <w:szCs w:val="24"/>
          <w:vertAlign w:val="superscript"/>
        </w:rPr>
        <w:t>[</w:t>
      </w:r>
      <w:r>
        <w:rPr>
          <w:rFonts w:eastAsia="宋体" w:cs="Times New Roman"/>
          <w:sz w:val="24"/>
          <w:szCs w:val="24"/>
          <w:vertAlign w:val="superscript"/>
        </w:rPr>
        <w:footnoteReference w:id="49"/>
      </w:r>
      <w:r>
        <w:rPr>
          <w:rFonts w:eastAsia="宋体" w:cs="Times New Roman"/>
          <w:sz w:val="24"/>
          <w:szCs w:val="24"/>
          <w:vertAlign w:val="superscript"/>
        </w:rPr>
        <w:t>]</w:t>
      </w:r>
      <w:r>
        <w:rPr>
          <w:rFonts w:eastAsia="宋体" w:cs="Times New Roman" w:hint="eastAsia"/>
          <w:sz w:val="24"/>
          <w:szCs w:val="24"/>
        </w:rPr>
        <w:t>。</w:t>
      </w:r>
    </w:p>
    <w:p w14:paraId="475050F9"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lastRenderedPageBreak/>
        <w:t>二是提升劳动生产率扩大就业容量。</w:t>
      </w:r>
      <w:r>
        <w:rPr>
          <w:rFonts w:eastAsia="宋体" w:cs="Times New Roman" w:hint="eastAsia"/>
          <w:sz w:val="24"/>
          <w:szCs w:val="24"/>
        </w:rPr>
        <w:t>数字经济的发展能够推动劳动生产率和全要素生产率的有力提升，促进行业发展提质增效。</w:t>
      </w:r>
      <w:r>
        <w:rPr>
          <w:rFonts w:eastAsia="宋体" w:cs="Times New Roman" w:hint="eastAsia"/>
          <w:sz w:val="24"/>
          <w:szCs w:val="24"/>
        </w:rPr>
        <w:t>2018</w:t>
      </w:r>
      <w:r>
        <w:rPr>
          <w:rFonts w:eastAsia="宋体" w:cs="Times New Roman" w:hint="eastAsia"/>
          <w:sz w:val="24"/>
          <w:szCs w:val="24"/>
        </w:rPr>
        <w:t>年</w:t>
      </w:r>
      <w:r>
        <w:rPr>
          <w:rFonts w:eastAsia="宋体" w:cs="Times New Roman" w:hint="eastAsia"/>
          <w:sz w:val="24"/>
          <w:szCs w:val="24"/>
        </w:rPr>
        <w:t>2</w:t>
      </w:r>
      <w:r>
        <w:rPr>
          <w:rFonts w:eastAsia="宋体" w:cs="Times New Roman" w:hint="eastAsia"/>
          <w:sz w:val="24"/>
          <w:szCs w:val="24"/>
        </w:rPr>
        <w:t>月，伦敦经济学院经济发展中心对</w:t>
      </w:r>
      <w:r>
        <w:rPr>
          <w:rFonts w:eastAsia="宋体" w:cs="Times New Roman" w:hint="eastAsia"/>
          <w:sz w:val="24"/>
          <w:szCs w:val="24"/>
        </w:rPr>
        <w:t>1993</w:t>
      </w:r>
      <w:r>
        <w:rPr>
          <w:rFonts w:eastAsia="宋体" w:cs="Times New Roman" w:hint="eastAsia"/>
          <w:sz w:val="24"/>
          <w:szCs w:val="24"/>
        </w:rPr>
        <w:t>～</w:t>
      </w:r>
      <w:r>
        <w:rPr>
          <w:rFonts w:eastAsia="宋体" w:cs="Times New Roman" w:hint="eastAsia"/>
          <w:sz w:val="24"/>
          <w:szCs w:val="24"/>
        </w:rPr>
        <w:t>2007</w:t>
      </w:r>
      <w:r>
        <w:rPr>
          <w:rFonts w:eastAsia="宋体" w:cs="Times New Roman" w:hint="eastAsia"/>
          <w:sz w:val="24"/>
          <w:szCs w:val="24"/>
        </w:rPr>
        <w:t>年</w:t>
      </w:r>
      <w:r>
        <w:rPr>
          <w:rFonts w:eastAsia="宋体" w:cs="Times New Roman" w:hint="eastAsia"/>
          <w:sz w:val="24"/>
          <w:szCs w:val="24"/>
        </w:rPr>
        <w:t>17</w:t>
      </w:r>
      <w:r>
        <w:rPr>
          <w:rFonts w:eastAsia="宋体" w:cs="Times New Roman" w:hint="eastAsia"/>
          <w:sz w:val="24"/>
          <w:szCs w:val="24"/>
        </w:rPr>
        <w:t>个国家的数据研究发现，增加机器人使用会使年度劳动生产率增长提高</w:t>
      </w:r>
      <w:r>
        <w:rPr>
          <w:rFonts w:eastAsia="宋体" w:cs="Times New Roman" w:hint="eastAsia"/>
          <w:sz w:val="24"/>
          <w:szCs w:val="24"/>
        </w:rPr>
        <w:t>0.36</w:t>
      </w:r>
      <w:r>
        <w:rPr>
          <w:rFonts w:eastAsia="宋体" w:cs="Times New Roman" w:hint="eastAsia"/>
          <w:sz w:val="24"/>
          <w:szCs w:val="24"/>
        </w:rPr>
        <w:t>个百分点。相比之下，</w:t>
      </w:r>
      <w:r>
        <w:rPr>
          <w:rFonts w:eastAsia="宋体" w:cs="Times New Roman" w:hint="eastAsia"/>
          <w:sz w:val="24"/>
          <w:szCs w:val="24"/>
        </w:rPr>
        <w:t>1850</w:t>
      </w:r>
      <w:r>
        <w:rPr>
          <w:rFonts w:eastAsia="宋体" w:cs="Times New Roman" w:hint="eastAsia"/>
          <w:sz w:val="24"/>
          <w:szCs w:val="24"/>
        </w:rPr>
        <w:t>～</w:t>
      </w:r>
      <w:r>
        <w:rPr>
          <w:rFonts w:eastAsia="宋体" w:cs="Times New Roman" w:hint="eastAsia"/>
          <w:sz w:val="24"/>
          <w:szCs w:val="24"/>
        </w:rPr>
        <w:t>1910</w:t>
      </w:r>
      <w:r>
        <w:rPr>
          <w:rFonts w:eastAsia="宋体" w:cs="Times New Roman" w:hint="eastAsia"/>
          <w:sz w:val="24"/>
          <w:szCs w:val="24"/>
        </w:rPr>
        <w:t>年，蒸汽技术对英国年度劳动生产率增长的贡献为</w:t>
      </w:r>
      <w:r>
        <w:rPr>
          <w:rFonts w:eastAsia="宋体" w:cs="Times New Roman" w:hint="eastAsia"/>
          <w:sz w:val="24"/>
          <w:szCs w:val="24"/>
        </w:rPr>
        <w:t>0.35</w:t>
      </w:r>
      <w:r>
        <w:rPr>
          <w:rFonts w:eastAsia="宋体" w:cs="Times New Roman" w:hint="eastAsia"/>
          <w:sz w:val="24"/>
          <w:szCs w:val="24"/>
        </w:rPr>
        <w:t>个百分点。数字经济的生产率效应将有力增强产品市场的需求、提高劳动者收入，从而进一步强化产业就业吸纳能力。既体现在对于某一行业的直接影响，如银行智能自助终端的应用提升了银行的营业效率，推动其进一步扩大经营、增设网点，从而增加了对客户经理、营销人员、理财顾问等的招聘交易需求；也包括对于相关行业的拉动作用，如互联网的发展大幅降低了市场交易费率与大众信任成本，促进以供需匹配为核心的共享经济、零工经济蓬勃发展，进而带动相关岗位的需求。我国各城市年度数据的回归结果显示，云计算的消费和普及度，对服务业的就业提升效应较为显著：采购云计算服务的消费额每增加</w:t>
      </w:r>
      <w:r>
        <w:rPr>
          <w:rFonts w:eastAsia="宋体" w:cs="Times New Roman" w:hint="eastAsia"/>
          <w:sz w:val="24"/>
          <w:szCs w:val="24"/>
        </w:rPr>
        <w:t>1</w:t>
      </w:r>
      <w:r>
        <w:rPr>
          <w:rFonts w:eastAsia="宋体" w:cs="Times New Roman" w:hint="eastAsia"/>
          <w:sz w:val="24"/>
          <w:szCs w:val="24"/>
        </w:rPr>
        <w:t>个百分点，第三产业就业增加</w:t>
      </w:r>
      <w:r>
        <w:rPr>
          <w:rFonts w:eastAsia="宋体" w:cs="Times New Roman" w:hint="eastAsia"/>
          <w:sz w:val="24"/>
          <w:szCs w:val="24"/>
        </w:rPr>
        <w:t>0.009%</w:t>
      </w:r>
      <w:r>
        <w:rPr>
          <w:rFonts w:eastAsia="宋体" w:cs="Times New Roman" w:hint="eastAsia"/>
          <w:sz w:val="24"/>
          <w:szCs w:val="24"/>
        </w:rPr>
        <w:t>。也就是说，未来</w:t>
      </w:r>
      <w:r>
        <w:rPr>
          <w:rFonts w:eastAsia="宋体" w:cs="Times New Roman" w:hint="eastAsia"/>
          <w:sz w:val="24"/>
          <w:szCs w:val="24"/>
        </w:rPr>
        <w:t>5</w:t>
      </w:r>
      <w:r>
        <w:rPr>
          <w:rFonts w:eastAsia="宋体" w:cs="Times New Roman" w:hint="eastAsia"/>
          <w:sz w:val="24"/>
          <w:szCs w:val="24"/>
        </w:rPr>
        <w:t>年，云计算在中国将至少带来</w:t>
      </w:r>
      <w:r>
        <w:rPr>
          <w:rFonts w:eastAsia="宋体" w:cs="Times New Roman" w:hint="eastAsia"/>
          <w:sz w:val="24"/>
          <w:szCs w:val="24"/>
        </w:rPr>
        <w:t>300</w:t>
      </w:r>
      <w:r>
        <w:rPr>
          <w:rFonts w:eastAsia="宋体" w:cs="Times New Roman" w:hint="eastAsia"/>
          <w:sz w:val="24"/>
          <w:szCs w:val="24"/>
        </w:rPr>
        <w:t>万个新增就业机会</w:t>
      </w:r>
      <w:r>
        <w:rPr>
          <w:rFonts w:eastAsia="宋体" w:cs="Times New Roman"/>
          <w:sz w:val="24"/>
          <w:szCs w:val="24"/>
          <w:vertAlign w:val="superscript"/>
        </w:rPr>
        <w:t>[</w:t>
      </w:r>
      <w:r>
        <w:rPr>
          <w:rFonts w:eastAsia="宋体" w:cs="Times New Roman"/>
          <w:sz w:val="24"/>
          <w:szCs w:val="24"/>
          <w:vertAlign w:val="superscript"/>
        </w:rPr>
        <w:footnoteReference w:id="50"/>
      </w:r>
      <w:r>
        <w:rPr>
          <w:rFonts w:eastAsia="宋体" w:cs="Times New Roman"/>
          <w:sz w:val="24"/>
          <w:szCs w:val="24"/>
          <w:vertAlign w:val="superscript"/>
        </w:rPr>
        <w:t>]</w:t>
      </w:r>
      <w:r>
        <w:rPr>
          <w:rFonts w:eastAsia="宋体" w:cs="Times New Roman" w:hint="eastAsia"/>
          <w:sz w:val="24"/>
          <w:szCs w:val="24"/>
        </w:rPr>
        <w:t>。</w:t>
      </w:r>
    </w:p>
    <w:p w14:paraId="6F3F3293" w14:textId="77777777" w:rsidR="00602083" w:rsidRDefault="00E51994">
      <w:pPr>
        <w:pStyle w:val="4"/>
      </w:pPr>
      <w:bookmarkStart w:id="68" w:name="_Toc18462"/>
      <w:bookmarkStart w:id="69" w:name="_Toc15490"/>
      <w:bookmarkStart w:id="70" w:name="_Toc92734358"/>
      <w:r>
        <w:rPr>
          <w:rFonts w:hint="eastAsia"/>
        </w:rPr>
        <w:t>2</w:t>
      </w:r>
      <w:r>
        <w:t>.</w:t>
      </w:r>
      <w:r>
        <w:rPr>
          <w:rFonts w:hint="eastAsia"/>
        </w:rPr>
        <w:t>数字经济促进优化就业结构</w:t>
      </w:r>
      <w:bookmarkEnd w:id="68"/>
      <w:bookmarkEnd w:id="69"/>
      <w:bookmarkEnd w:id="70"/>
    </w:p>
    <w:p w14:paraId="6684349A"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数字经济创造了更为多元包容的就业形态，进一步拓展了不同群体参与就业、提升收入的新空间，成为缩小收入差距、促进就业公平的重要基石。</w:t>
      </w:r>
    </w:p>
    <w:p w14:paraId="78E2D3E1"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一是增加了不同群体实现就业的机会。</w:t>
      </w:r>
      <w:r>
        <w:rPr>
          <w:rFonts w:eastAsia="宋体" w:cs="Times New Roman" w:hint="eastAsia"/>
          <w:sz w:val="24"/>
          <w:szCs w:val="24"/>
        </w:rPr>
        <w:t>数字经济发展创造出了大量灵活性、包容性、门槛低的就业岗位，大大降低了对于从业者工作时间、工作地点以及工作技能的约束。</w:t>
      </w:r>
      <w:r>
        <w:rPr>
          <w:rFonts w:eastAsia="宋体" w:cs="Times New Roman" w:hint="eastAsia"/>
          <w:b/>
          <w:bCs/>
          <w:sz w:val="24"/>
          <w:szCs w:val="24"/>
        </w:rPr>
        <w:t>一是有助于解决重点群体的就业压力。</w:t>
      </w:r>
      <w:r>
        <w:rPr>
          <w:rFonts w:eastAsia="宋体" w:cs="Times New Roman" w:hint="eastAsia"/>
          <w:sz w:val="24"/>
          <w:szCs w:val="24"/>
        </w:rPr>
        <w:t>调研显示，</w:t>
      </w:r>
      <w:bookmarkStart w:id="71" w:name="_Hlk92732379"/>
      <w:r>
        <w:rPr>
          <w:rFonts w:eastAsia="宋体" w:cs="Times New Roman" w:hint="eastAsia"/>
          <w:sz w:val="24"/>
          <w:szCs w:val="24"/>
        </w:rPr>
        <w:t>滴滴平台上</w:t>
      </w:r>
      <w:r>
        <w:rPr>
          <w:rFonts w:eastAsia="宋体" w:cs="Times New Roman" w:hint="eastAsia"/>
          <w:sz w:val="24"/>
          <w:szCs w:val="24"/>
        </w:rPr>
        <w:t>20.4%</w:t>
      </w:r>
      <w:r>
        <w:rPr>
          <w:rFonts w:eastAsia="宋体" w:cs="Times New Roman" w:hint="eastAsia"/>
          <w:sz w:val="24"/>
          <w:szCs w:val="24"/>
        </w:rPr>
        <w:t>的专职司机是由于下岗、失业等原因从事网约车工作，</w:t>
      </w:r>
      <w:r>
        <w:rPr>
          <w:rFonts w:eastAsia="宋体" w:cs="Times New Roman" w:hint="eastAsia"/>
          <w:sz w:val="24"/>
          <w:szCs w:val="24"/>
        </w:rPr>
        <w:t>41.1%</w:t>
      </w:r>
      <w:r>
        <w:rPr>
          <w:rFonts w:eastAsia="宋体" w:cs="Times New Roman" w:hint="eastAsia"/>
          <w:sz w:val="24"/>
          <w:szCs w:val="24"/>
        </w:rPr>
        <w:t>来自制造业，</w:t>
      </w:r>
      <w:r>
        <w:rPr>
          <w:rFonts w:eastAsia="宋体" w:cs="Times New Roman" w:hint="eastAsia"/>
          <w:sz w:val="24"/>
          <w:szCs w:val="24"/>
        </w:rPr>
        <w:t>13.6%</w:t>
      </w:r>
      <w:r>
        <w:rPr>
          <w:rFonts w:eastAsia="宋体" w:cs="Times New Roman" w:hint="eastAsia"/>
          <w:sz w:val="24"/>
          <w:szCs w:val="24"/>
        </w:rPr>
        <w:t>来自交通运输业，</w:t>
      </w:r>
      <w:r>
        <w:rPr>
          <w:rFonts w:eastAsia="宋体" w:cs="Times New Roman" w:hint="eastAsia"/>
          <w:sz w:val="24"/>
          <w:szCs w:val="24"/>
        </w:rPr>
        <w:t>4.9%</w:t>
      </w:r>
      <w:r>
        <w:rPr>
          <w:rFonts w:eastAsia="宋体" w:cs="Times New Roman" w:hint="eastAsia"/>
          <w:sz w:val="24"/>
          <w:szCs w:val="24"/>
        </w:rPr>
        <w:t>来自钢铁、煤炭等去产能行业。</w:t>
      </w:r>
      <w:bookmarkEnd w:id="71"/>
      <w:r>
        <w:rPr>
          <w:rFonts w:eastAsia="宋体" w:cs="Times New Roman" w:hint="eastAsia"/>
          <w:sz w:val="24"/>
          <w:szCs w:val="24"/>
        </w:rPr>
        <w:t>2020</w:t>
      </w:r>
      <w:r>
        <w:rPr>
          <w:rFonts w:eastAsia="宋体" w:cs="Times New Roman" w:hint="eastAsia"/>
          <w:sz w:val="24"/>
          <w:szCs w:val="24"/>
        </w:rPr>
        <w:t>年上半年，美团平台上的新增骑手中，来自国家建档立卡贫困户的新增骑手近</w:t>
      </w:r>
      <w:r>
        <w:rPr>
          <w:rFonts w:eastAsia="宋体" w:cs="Times New Roman" w:hint="eastAsia"/>
          <w:sz w:val="24"/>
          <w:szCs w:val="24"/>
        </w:rPr>
        <w:t>8</w:t>
      </w:r>
      <w:r>
        <w:rPr>
          <w:rFonts w:eastAsia="宋体" w:cs="Times New Roman" w:hint="eastAsia"/>
          <w:sz w:val="24"/>
          <w:szCs w:val="24"/>
        </w:rPr>
        <w:t>万人</w:t>
      </w:r>
      <w:r>
        <w:rPr>
          <w:rFonts w:eastAsia="宋体" w:cs="Times New Roman"/>
          <w:sz w:val="24"/>
          <w:szCs w:val="24"/>
          <w:vertAlign w:val="superscript"/>
        </w:rPr>
        <w:t>[</w:t>
      </w:r>
      <w:r>
        <w:rPr>
          <w:rFonts w:eastAsia="宋体" w:cs="Times New Roman"/>
          <w:sz w:val="24"/>
          <w:szCs w:val="24"/>
          <w:vertAlign w:val="superscript"/>
        </w:rPr>
        <w:footnoteReference w:id="51"/>
      </w:r>
      <w:r>
        <w:rPr>
          <w:rFonts w:eastAsia="宋体" w:cs="Times New Roman"/>
          <w:sz w:val="24"/>
          <w:szCs w:val="24"/>
          <w:vertAlign w:val="superscript"/>
        </w:rPr>
        <w:t>]</w:t>
      </w:r>
      <w:r>
        <w:rPr>
          <w:rFonts w:eastAsia="宋体" w:cs="Times New Roman" w:hint="eastAsia"/>
          <w:sz w:val="24"/>
          <w:szCs w:val="24"/>
        </w:rPr>
        <w:t>。</w:t>
      </w:r>
      <w:r>
        <w:rPr>
          <w:rFonts w:eastAsia="宋体" w:cs="Times New Roman" w:hint="eastAsia"/>
          <w:b/>
          <w:bCs/>
          <w:sz w:val="24"/>
          <w:szCs w:val="24"/>
        </w:rPr>
        <w:t>二是有助于消除就业歧视。</w:t>
      </w:r>
      <w:r>
        <w:rPr>
          <w:rFonts w:eastAsia="宋体" w:cs="Times New Roman" w:hint="eastAsia"/>
          <w:sz w:val="24"/>
          <w:szCs w:val="24"/>
        </w:rPr>
        <w:t>在传统就业市场上，因为性别、年龄、残障、户籍等造成的就业歧视现象，能够在新就业形态中得以有力缓解。由于新就业形态招聘方式在线化、从业方式灵活化、就业考核“按单计价”等特点，劳动时间、地点、身份的限制被打破，残障人士、高龄劳</w:t>
      </w:r>
      <w:r>
        <w:rPr>
          <w:rFonts w:eastAsia="宋体" w:cs="Times New Roman" w:hint="eastAsia"/>
          <w:sz w:val="24"/>
          <w:szCs w:val="24"/>
        </w:rPr>
        <w:lastRenderedPageBreak/>
        <w:t>动力、家庭主妇等就业弱势群体得到了更加充分的就业机会。需要兼顾家庭和工作的女性群体可通过网络进一步提升劳动参与率，并通过网络学习、商业活动提高其人力资本水平。如在阿里平台上，女性创业者占比为</w:t>
      </w:r>
      <w:r>
        <w:rPr>
          <w:rFonts w:eastAsia="宋体" w:cs="Times New Roman" w:hint="eastAsia"/>
          <w:sz w:val="24"/>
          <w:szCs w:val="24"/>
        </w:rPr>
        <w:t>49.25%</w:t>
      </w:r>
      <w:r>
        <w:rPr>
          <w:rFonts w:eastAsia="宋体" w:cs="Times New Roman" w:hint="eastAsia"/>
          <w:sz w:val="24"/>
          <w:szCs w:val="24"/>
        </w:rPr>
        <w:t>，</w:t>
      </w:r>
      <w:r>
        <w:rPr>
          <w:rFonts w:eastAsia="宋体" w:cs="Times New Roman" w:hint="eastAsia"/>
          <w:sz w:val="24"/>
          <w:szCs w:val="24"/>
        </w:rPr>
        <w:t>Aliexpress</w:t>
      </w:r>
      <w:r>
        <w:rPr>
          <w:rFonts w:eastAsia="宋体" w:cs="Times New Roman" w:hint="eastAsia"/>
          <w:sz w:val="24"/>
          <w:szCs w:val="24"/>
        </w:rPr>
        <w:t>平台上，女性创业者比例达到了</w:t>
      </w:r>
      <w:r>
        <w:rPr>
          <w:rFonts w:eastAsia="宋体" w:cs="Times New Roman" w:hint="eastAsia"/>
          <w:sz w:val="24"/>
          <w:szCs w:val="24"/>
        </w:rPr>
        <w:t>53.67%</w:t>
      </w:r>
      <w:r>
        <w:rPr>
          <w:rFonts w:eastAsia="宋体" w:cs="Times New Roman"/>
          <w:sz w:val="24"/>
          <w:szCs w:val="24"/>
          <w:vertAlign w:val="superscript"/>
        </w:rPr>
        <w:t>[</w:t>
      </w:r>
      <w:r>
        <w:rPr>
          <w:rFonts w:eastAsia="宋体" w:cs="Times New Roman"/>
          <w:sz w:val="24"/>
          <w:szCs w:val="24"/>
          <w:vertAlign w:val="superscript"/>
        </w:rPr>
        <w:footnoteReference w:id="52"/>
      </w:r>
      <w:r>
        <w:rPr>
          <w:rFonts w:eastAsia="宋体" w:cs="Times New Roman"/>
          <w:sz w:val="24"/>
          <w:szCs w:val="24"/>
          <w:vertAlign w:val="superscript"/>
        </w:rPr>
        <w:t>]</w:t>
      </w:r>
      <w:r>
        <w:rPr>
          <w:rFonts w:eastAsia="宋体" w:cs="Times New Roman" w:hint="eastAsia"/>
          <w:sz w:val="24"/>
          <w:szCs w:val="24"/>
        </w:rPr>
        <w:t>；携程平台上，“旅行定制师”的</w:t>
      </w:r>
      <w:r>
        <w:rPr>
          <w:rFonts w:eastAsia="宋体" w:cs="Times New Roman" w:hint="eastAsia"/>
          <w:sz w:val="24"/>
          <w:szCs w:val="24"/>
        </w:rPr>
        <w:t>5000</w:t>
      </w:r>
      <w:r>
        <w:rPr>
          <w:rFonts w:eastAsia="宋体" w:cs="Times New Roman" w:hint="eastAsia"/>
          <w:sz w:val="24"/>
          <w:szCs w:val="24"/>
        </w:rPr>
        <w:t>多名持证者中，</w:t>
      </w:r>
      <w:r>
        <w:rPr>
          <w:rFonts w:eastAsia="宋体" w:cs="Times New Roman" w:hint="eastAsia"/>
          <w:sz w:val="24"/>
          <w:szCs w:val="24"/>
        </w:rPr>
        <w:t>68%</w:t>
      </w:r>
      <w:r>
        <w:rPr>
          <w:rFonts w:eastAsia="宋体" w:cs="Times New Roman" w:hint="eastAsia"/>
          <w:sz w:val="24"/>
          <w:szCs w:val="24"/>
        </w:rPr>
        <w:t>是女性</w:t>
      </w:r>
      <w:r>
        <w:rPr>
          <w:rFonts w:eastAsia="宋体" w:cs="Times New Roman"/>
          <w:sz w:val="24"/>
          <w:szCs w:val="24"/>
          <w:vertAlign w:val="superscript"/>
        </w:rPr>
        <w:t>[</w:t>
      </w:r>
      <w:r>
        <w:rPr>
          <w:rFonts w:eastAsia="宋体" w:cs="Times New Roman"/>
          <w:sz w:val="24"/>
          <w:szCs w:val="24"/>
          <w:vertAlign w:val="superscript"/>
        </w:rPr>
        <w:footnoteReference w:id="53"/>
      </w:r>
      <w:r>
        <w:rPr>
          <w:rFonts w:eastAsia="宋体" w:cs="Times New Roman"/>
          <w:sz w:val="24"/>
          <w:szCs w:val="24"/>
          <w:vertAlign w:val="superscript"/>
        </w:rPr>
        <w:t>]</w:t>
      </w:r>
      <w:r>
        <w:rPr>
          <w:rFonts w:eastAsia="宋体" w:cs="Times New Roman" w:hint="eastAsia"/>
          <w:sz w:val="24"/>
          <w:szCs w:val="24"/>
        </w:rPr>
        <w:t>。残障人士可通过平台上的包容型岗位实现就业，</w:t>
      </w:r>
      <w:r>
        <w:rPr>
          <w:rFonts w:eastAsia="宋体" w:cs="Times New Roman" w:hint="eastAsia"/>
          <w:sz w:val="24"/>
          <w:szCs w:val="24"/>
        </w:rPr>
        <w:t>2010</w:t>
      </w:r>
      <w:r>
        <w:rPr>
          <w:rFonts w:eastAsia="宋体" w:cs="Times New Roman" w:hint="eastAsia"/>
          <w:sz w:val="24"/>
          <w:szCs w:val="24"/>
        </w:rPr>
        <w:t>年</w:t>
      </w:r>
      <w:r>
        <w:rPr>
          <w:rFonts w:eastAsia="宋体" w:cs="Times New Roman" w:hint="eastAsia"/>
          <w:sz w:val="24"/>
          <w:szCs w:val="24"/>
        </w:rPr>
        <w:t>2020</w:t>
      </w:r>
      <w:r>
        <w:rPr>
          <w:rFonts w:eastAsia="宋体" w:cs="Times New Roman" w:hint="eastAsia"/>
          <w:sz w:val="24"/>
          <w:szCs w:val="24"/>
        </w:rPr>
        <w:t>年，阿里巴巴云客服累计免费培训了</w:t>
      </w:r>
      <w:r>
        <w:rPr>
          <w:rFonts w:eastAsia="宋体" w:cs="Times New Roman" w:hint="eastAsia"/>
          <w:sz w:val="24"/>
          <w:szCs w:val="24"/>
        </w:rPr>
        <w:t>35</w:t>
      </w:r>
      <w:r>
        <w:rPr>
          <w:rFonts w:eastAsia="宋体" w:cs="Times New Roman" w:hint="eastAsia"/>
          <w:sz w:val="24"/>
          <w:szCs w:val="24"/>
        </w:rPr>
        <w:t>万人，为</w:t>
      </w:r>
      <w:r>
        <w:rPr>
          <w:rFonts w:eastAsia="宋体" w:cs="Times New Roman" w:hint="eastAsia"/>
          <w:sz w:val="24"/>
          <w:szCs w:val="24"/>
        </w:rPr>
        <w:t>11</w:t>
      </w:r>
      <w:r>
        <w:rPr>
          <w:rFonts w:eastAsia="宋体" w:cs="Times New Roman" w:hint="eastAsia"/>
          <w:sz w:val="24"/>
          <w:szCs w:val="24"/>
        </w:rPr>
        <w:t>万人提供了就业岗位。美团点评休闲娱乐业务数据显示，盲人按摩类商家超过</w:t>
      </w:r>
      <w:r>
        <w:rPr>
          <w:rFonts w:eastAsia="宋体" w:cs="Times New Roman" w:hint="eastAsia"/>
          <w:sz w:val="24"/>
          <w:szCs w:val="24"/>
        </w:rPr>
        <w:t>1.5</w:t>
      </w:r>
      <w:r>
        <w:rPr>
          <w:rFonts w:eastAsia="宋体" w:cs="Times New Roman" w:hint="eastAsia"/>
          <w:sz w:val="24"/>
          <w:szCs w:val="24"/>
        </w:rPr>
        <w:t>万家，占整体足疗按摩商家数量的</w:t>
      </w:r>
      <w:r>
        <w:rPr>
          <w:rFonts w:eastAsia="宋体" w:cs="Times New Roman" w:hint="eastAsia"/>
          <w:sz w:val="24"/>
          <w:szCs w:val="24"/>
        </w:rPr>
        <w:t>7%</w:t>
      </w:r>
      <w:r>
        <w:rPr>
          <w:rFonts w:eastAsia="宋体" w:cs="Times New Roman" w:hint="eastAsia"/>
          <w:sz w:val="24"/>
          <w:szCs w:val="24"/>
        </w:rPr>
        <w:t>。</w:t>
      </w:r>
      <w:r>
        <w:rPr>
          <w:rFonts w:eastAsia="宋体" w:cs="Times New Roman" w:hint="eastAsia"/>
          <w:b/>
          <w:bCs/>
          <w:sz w:val="24"/>
          <w:szCs w:val="24"/>
        </w:rPr>
        <w:t>三是有利于应对就业市场的不确定性。</w:t>
      </w:r>
      <w:r>
        <w:rPr>
          <w:rFonts w:eastAsia="宋体" w:cs="Times New Roman" w:hint="eastAsia"/>
          <w:sz w:val="24"/>
          <w:szCs w:val="24"/>
        </w:rPr>
        <w:t>平台企业和新就业形态可以根据市场供需变化，及时调节劳动力的供给量，促进劳动力跨业流动和减少摩擦性失业。疫情期间，美团平台的骑手工作吸纳了大量的二产、三产从业人员，</w:t>
      </w:r>
      <w:r>
        <w:rPr>
          <w:rFonts w:eastAsia="宋体" w:cs="Times New Roman" w:hint="eastAsia"/>
          <w:sz w:val="24"/>
          <w:szCs w:val="24"/>
        </w:rPr>
        <w:t>35.2%</w:t>
      </w:r>
      <w:r>
        <w:rPr>
          <w:rFonts w:eastAsia="宋体" w:cs="Times New Roman" w:hint="eastAsia"/>
          <w:sz w:val="24"/>
          <w:szCs w:val="24"/>
        </w:rPr>
        <w:t>的骑手来自工厂工人，</w:t>
      </w:r>
      <w:r>
        <w:rPr>
          <w:rFonts w:eastAsia="宋体" w:cs="Times New Roman" w:hint="eastAsia"/>
          <w:sz w:val="24"/>
          <w:szCs w:val="24"/>
        </w:rPr>
        <w:t>31.4%</w:t>
      </w:r>
      <w:r>
        <w:rPr>
          <w:rFonts w:eastAsia="宋体" w:cs="Times New Roman" w:hint="eastAsia"/>
          <w:sz w:val="24"/>
          <w:szCs w:val="24"/>
        </w:rPr>
        <w:t>的来自创业或自己做小生意的人员，</w:t>
      </w:r>
      <w:r>
        <w:rPr>
          <w:rFonts w:eastAsia="宋体" w:cs="Times New Roman" w:hint="eastAsia"/>
          <w:sz w:val="24"/>
          <w:szCs w:val="24"/>
        </w:rPr>
        <w:t>17.8%</w:t>
      </w:r>
      <w:r>
        <w:rPr>
          <w:rFonts w:eastAsia="宋体" w:cs="Times New Roman" w:hint="eastAsia"/>
          <w:sz w:val="24"/>
          <w:szCs w:val="24"/>
        </w:rPr>
        <w:t>的来自办公室职员</w:t>
      </w:r>
      <w:r>
        <w:rPr>
          <w:rFonts w:eastAsia="宋体" w:cs="Times New Roman"/>
          <w:sz w:val="24"/>
          <w:szCs w:val="24"/>
          <w:vertAlign w:val="superscript"/>
        </w:rPr>
        <w:t>[</w:t>
      </w:r>
      <w:r>
        <w:rPr>
          <w:rFonts w:eastAsia="宋体" w:cs="Times New Roman"/>
          <w:sz w:val="24"/>
          <w:szCs w:val="24"/>
          <w:vertAlign w:val="superscript"/>
        </w:rPr>
        <w:footnoteReference w:id="54"/>
      </w:r>
      <w:r>
        <w:rPr>
          <w:rFonts w:eastAsia="宋体" w:cs="Times New Roman"/>
          <w:sz w:val="24"/>
          <w:szCs w:val="24"/>
          <w:vertAlign w:val="superscript"/>
        </w:rPr>
        <w:t>]</w:t>
      </w:r>
      <w:r>
        <w:rPr>
          <w:rFonts w:eastAsia="宋体" w:cs="Times New Roman" w:hint="eastAsia"/>
          <w:sz w:val="24"/>
          <w:szCs w:val="24"/>
        </w:rPr>
        <w:t>。</w:t>
      </w:r>
    </w:p>
    <w:p w14:paraId="30E75A12" w14:textId="77777777" w:rsidR="00602083" w:rsidRDefault="00E51994">
      <w:pPr>
        <w:pStyle w:val="4"/>
      </w:pPr>
      <w:bookmarkStart w:id="72" w:name="_Toc3062"/>
      <w:bookmarkStart w:id="73" w:name="_Toc32726"/>
      <w:bookmarkStart w:id="74" w:name="_Toc92734359"/>
      <w:r>
        <w:rPr>
          <w:rFonts w:hint="eastAsia"/>
        </w:rPr>
        <w:t>3</w:t>
      </w:r>
      <w:r>
        <w:t>.</w:t>
      </w:r>
      <w:r>
        <w:rPr>
          <w:rFonts w:hint="eastAsia"/>
        </w:rPr>
        <w:t>数字经济有效提升就业质量</w:t>
      </w:r>
      <w:bookmarkEnd w:id="72"/>
      <w:bookmarkEnd w:id="73"/>
      <w:bookmarkEnd w:id="74"/>
    </w:p>
    <w:p w14:paraId="36773DC8"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一是促进人力资本的长期提升。</w:t>
      </w:r>
      <w:r>
        <w:rPr>
          <w:rFonts w:eastAsia="宋体" w:cs="Times New Roman" w:hint="eastAsia"/>
          <w:sz w:val="24"/>
          <w:szCs w:val="24"/>
        </w:rPr>
        <w:t>数字经济的发展，不仅是为人们增加短期就业机会，实现“授人以鱼”；更是推动了个体价值的长期提升，推动“授人以渔”。</w:t>
      </w:r>
      <w:r>
        <w:rPr>
          <w:rFonts w:eastAsia="宋体" w:cs="Times New Roman" w:hint="eastAsia"/>
          <w:b/>
          <w:bCs/>
          <w:sz w:val="24"/>
          <w:szCs w:val="24"/>
        </w:rPr>
        <w:t>一是互联网提升了人们的资源可得性，</w:t>
      </w:r>
      <w:r>
        <w:rPr>
          <w:rFonts w:eastAsia="宋体" w:cs="Times New Roman" w:hint="eastAsia"/>
          <w:sz w:val="24"/>
          <w:szCs w:val="24"/>
        </w:rPr>
        <w:t>使其能够通过在线化、便捷化的方式获取订单、接受培训、对接资源等。如农村电商的发展通过打造“产加销”全链路的产业生态，形成推动乡村振兴的持续动力，同时也培养了大量农村电商人才，充分激发其创收能力和创新活力。商务部数据显示，</w:t>
      </w:r>
      <w:bookmarkStart w:id="75" w:name="_Hlk92732401"/>
      <w:r>
        <w:rPr>
          <w:rFonts w:eastAsia="宋体" w:cs="Times New Roman" w:hint="eastAsia"/>
          <w:sz w:val="24"/>
          <w:szCs w:val="24"/>
        </w:rPr>
        <w:t>电商扶贫已累计带动了</w:t>
      </w:r>
      <w:r>
        <w:rPr>
          <w:rFonts w:eastAsia="宋体" w:cs="Times New Roman" w:hint="eastAsia"/>
          <w:sz w:val="24"/>
          <w:szCs w:val="24"/>
        </w:rPr>
        <w:t>771</w:t>
      </w:r>
      <w:r>
        <w:rPr>
          <w:rFonts w:eastAsia="宋体" w:cs="Times New Roman" w:hint="eastAsia"/>
          <w:sz w:val="24"/>
          <w:szCs w:val="24"/>
        </w:rPr>
        <w:t>万农民就地创业就业，带动了</w:t>
      </w:r>
      <w:r>
        <w:rPr>
          <w:rFonts w:eastAsia="宋体" w:cs="Times New Roman" w:hint="eastAsia"/>
          <w:sz w:val="24"/>
          <w:szCs w:val="24"/>
        </w:rPr>
        <w:t>618.8</w:t>
      </w:r>
      <w:r>
        <w:rPr>
          <w:rFonts w:eastAsia="宋体" w:cs="Times New Roman" w:hint="eastAsia"/>
          <w:sz w:val="24"/>
          <w:szCs w:val="24"/>
        </w:rPr>
        <w:t>万贫困人口增收</w:t>
      </w:r>
      <w:bookmarkEnd w:id="75"/>
      <w:r>
        <w:rPr>
          <w:rFonts w:eastAsia="宋体" w:cs="Times New Roman" w:hint="eastAsia"/>
          <w:sz w:val="24"/>
          <w:szCs w:val="24"/>
        </w:rPr>
        <w:t>，已经成为贫困群众脱贫增收最直接、最有效的途径之一。再如共享办公平台不仅为创业者提供了低成本的办公场地，而且也提供了订单、人才、资金等资源对接服务，同时还可提供技术、营销、财务法务等咨询服务，有力地促进了创业式就业。</w:t>
      </w:r>
      <w:r>
        <w:rPr>
          <w:rFonts w:eastAsia="宋体" w:cs="Times New Roman" w:hint="eastAsia"/>
          <w:b/>
          <w:bCs/>
          <w:sz w:val="24"/>
          <w:szCs w:val="24"/>
        </w:rPr>
        <w:t>二是增强了平台赋能的主动性，</w:t>
      </w:r>
      <w:r>
        <w:rPr>
          <w:rFonts w:eastAsia="宋体" w:cs="Times New Roman" w:hint="eastAsia"/>
          <w:sz w:val="24"/>
          <w:szCs w:val="24"/>
        </w:rPr>
        <w:t>平台经济具有显著的“双边市场”特性，供给侧的服务质量提升将会有利于提升消费者留存意愿、巩固平台竞争力，因此平台会主动为从业者提供工作支持、技能培训、能力考核、资源对接等在内的赋能支持，搭建相对完善的个人成长体系。如表现优秀的外卖骑手可晋升为配送组长、站长以及合作商管理岗等，推动其人力资本价值的持续提升。再如电商、生活服务等</w:t>
      </w:r>
      <w:r>
        <w:rPr>
          <w:rFonts w:eastAsia="宋体" w:cs="Times New Roman" w:hint="eastAsia"/>
          <w:sz w:val="24"/>
          <w:szCs w:val="24"/>
        </w:rPr>
        <w:lastRenderedPageBreak/>
        <w:t>平台基于自身的数据及技术优势，为小微商家提供软硬件优化、运营指导、精准营销等数字化解决方案，通过开展技能、安全、规范等方面的培训活动，提升商家经营能力，为自雇型就业提供了重要支持。</w:t>
      </w:r>
    </w:p>
    <w:p w14:paraId="1789E1F3"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二是推动劳动力市场的效率提升</w:t>
      </w:r>
      <w:r>
        <w:rPr>
          <w:rFonts w:eastAsia="宋体" w:cs="Times New Roman" w:hint="eastAsia"/>
          <w:sz w:val="24"/>
          <w:szCs w:val="24"/>
        </w:rPr>
        <w:t>。数字经济的发展能够有效改善传统劳动力市场存在的信息不透明情况，促进求职者与招聘岗位有效对接，有利于降低交易成本、提高就业效率。近年来，互联网技术与人力资源服务深度融合，网络招聘市场发展迅猛。截至</w:t>
      </w:r>
      <w:r>
        <w:rPr>
          <w:rFonts w:eastAsia="宋体" w:cs="Times New Roman" w:hint="eastAsia"/>
          <w:sz w:val="24"/>
          <w:szCs w:val="24"/>
        </w:rPr>
        <w:t>2019</w:t>
      </w:r>
      <w:r>
        <w:rPr>
          <w:rFonts w:eastAsia="宋体" w:cs="Times New Roman" w:hint="eastAsia"/>
          <w:sz w:val="24"/>
          <w:szCs w:val="24"/>
        </w:rPr>
        <w:t>年底，全国共有</w:t>
      </w:r>
      <w:r>
        <w:rPr>
          <w:rFonts w:eastAsia="宋体" w:cs="Times New Roman" w:hint="eastAsia"/>
          <w:sz w:val="24"/>
          <w:szCs w:val="24"/>
        </w:rPr>
        <w:t>3.96</w:t>
      </w:r>
      <w:r>
        <w:rPr>
          <w:rFonts w:eastAsia="宋体" w:cs="Times New Roman" w:hint="eastAsia"/>
          <w:sz w:val="24"/>
          <w:szCs w:val="24"/>
        </w:rPr>
        <w:t>万家人力资源服务机构，建立人力资源市场网站</w:t>
      </w:r>
      <w:r>
        <w:rPr>
          <w:rFonts w:eastAsia="宋体" w:cs="Times New Roman" w:hint="eastAsia"/>
          <w:sz w:val="24"/>
          <w:szCs w:val="24"/>
        </w:rPr>
        <w:t>1.5</w:t>
      </w:r>
      <w:r>
        <w:rPr>
          <w:rFonts w:eastAsia="宋体" w:cs="Times New Roman" w:hint="eastAsia"/>
          <w:sz w:val="24"/>
          <w:szCs w:val="24"/>
        </w:rPr>
        <w:t>万个，</w:t>
      </w:r>
      <w:r>
        <w:rPr>
          <w:rFonts w:eastAsia="宋体" w:cs="Times New Roman" w:hint="eastAsia"/>
          <w:sz w:val="24"/>
          <w:szCs w:val="24"/>
        </w:rPr>
        <w:t>2019</w:t>
      </w:r>
      <w:r>
        <w:rPr>
          <w:rFonts w:eastAsia="宋体" w:cs="Times New Roman" w:hint="eastAsia"/>
          <w:sz w:val="24"/>
          <w:szCs w:val="24"/>
        </w:rPr>
        <w:t>年通过网络发布招聘信息</w:t>
      </w:r>
      <w:r>
        <w:rPr>
          <w:rFonts w:eastAsia="宋体" w:cs="Times New Roman" w:hint="eastAsia"/>
          <w:sz w:val="24"/>
          <w:szCs w:val="24"/>
        </w:rPr>
        <w:t>4.04</w:t>
      </w:r>
      <w:r>
        <w:rPr>
          <w:rFonts w:eastAsia="宋体" w:cs="Times New Roman" w:hint="eastAsia"/>
          <w:sz w:val="24"/>
          <w:szCs w:val="24"/>
        </w:rPr>
        <w:t>亿条、发布求职信息</w:t>
      </w:r>
      <w:r>
        <w:rPr>
          <w:rFonts w:eastAsia="宋体" w:cs="Times New Roman" w:hint="eastAsia"/>
          <w:sz w:val="24"/>
          <w:szCs w:val="24"/>
        </w:rPr>
        <w:t>8.23</w:t>
      </w:r>
      <w:r>
        <w:rPr>
          <w:rFonts w:eastAsia="宋体" w:cs="Times New Roman" w:hint="eastAsia"/>
          <w:sz w:val="24"/>
          <w:szCs w:val="24"/>
        </w:rPr>
        <w:t>亿条。包括智联招聘、前程无忧等在内的网络招聘网站通过聚合海量人才岗位、简历智能高效筛选、岗位需求数据分析、合适人才智能推荐等创新，助力达到就业者实现高效求职、企业实现精准招聘的双重效果。据智联招聘数据显示，近年来，应届高校毕业生通过招聘网站获取就业信息的比例达到了</w:t>
      </w:r>
      <w:r>
        <w:rPr>
          <w:rFonts w:eastAsia="宋体" w:cs="Times New Roman" w:hint="eastAsia"/>
          <w:sz w:val="24"/>
          <w:szCs w:val="24"/>
        </w:rPr>
        <w:t>60%</w:t>
      </w:r>
      <w:r>
        <w:rPr>
          <w:rFonts w:eastAsia="宋体" w:cs="Times New Roman" w:hint="eastAsia"/>
          <w:sz w:val="24"/>
          <w:szCs w:val="24"/>
        </w:rPr>
        <w:t>。网络招聘超过校园招聘会等传统方式，成为高校毕业生的主要就业渠道。以退役军人转岗就业为例，强军网中央军委机关网站联合</w:t>
      </w:r>
      <w:r>
        <w:rPr>
          <w:rFonts w:eastAsia="宋体" w:cs="Times New Roman" w:hint="eastAsia"/>
          <w:sz w:val="24"/>
          <w:szCs w:val="24"/>
        </w:rPr>
        <w:t>200</w:t>
      </w:r>
      <w:r>
        <w:rPr>
          <w:rFonts w:eastAsia="宋体" w:cs="Times New Roman" w:hint="eastAsia"/>
          <w:sz w:val="24"/>
          <w:szCs w:val="24"/>
        </w:rPr>
        <w:t>多个央企国企、大型民企，已累计发布招聘岗位信息</w:t>
      </w:r>
      <w:r>
        <w:rPr>
          <w:rFonts w:eastAsia="宋体" w:cs="Times New Roman" w:hint="eastAsia"/>
          <w:sz w:val="24"/>
          <w:szCs w:val="24"/>
        </w:rPr>
        <w:t>8</w:t>
      </w:r>
      <w:r>
        <w:rPr>
          <w:rFonts w:eastAsia="宋体" w:cs="Times New Roman" w:hint="eastAsia"/>
          <w:sz w:val="24"/>
          <w:szCs w:val="24"/>
        </w:rPr>
        <w:t>万余条。岗位拓展方面，数字经济企业激发了新增岗位需求，为退役军人就业提供了需求空间。退役军人事务部与滴滴出行、京东集团、顺丰集团、阿里巴巴集团</w:t>
      </w:r>
      <w:r>
        <w:rPr>
          <w:rFonts w:eastAsia="宋体" w:cs="Times New Roman" w:hint="eastAsia"/>
          <w:sz w:val="24"/>
          <w:szCs w:val="24"/>
        </w:rPr>
        <w:t>4</w:t>
      </w:r>
      <w:r>
        <w:rPr>
          <w:rFonts w:eastAsia="宋体" w:cs="Times New Roman" w:hint="eastAsia"/>
          <w:sz w:val="24"/>
          <w:szCs w:val="24"/>
        </w:rPr>
        <w:t>家企业以“云签约”方式签署退役军人就业合作协议，为退役军人提供</w:t>
      </w:r>
      <w:r>
        <w:rPr>
          <w:rFonts w:eastAsia="宋体" w:cs="Times New Roman" w:hint="eastAsia"/>
          <w:sz w:val="24"/>
          <w:szCs w:val="24"/>
        </w:rPr>
        <w:t>5.5</w:t>
      </w:r>
      <w:r>
        <w:rPr>
          <w:rFonts w:eastAsia="宋体" w:cs="Times New Roman" w:hint="eastAsia"/>
          <w:sz w:val="24"/>
          <w:szCs w:val="24"/>
        </w:rPr>
        <w:t>万个岗位，岗位涵盖电子商务、网络平台、财务管理、销售代表、机械维护、仓储物流、交通驾驶等岗位类别。就业服务方面，当前各地均积极筹建面向退役军人的就业服务平台，为退役军人就业提供信息、培训、法律等就业服务内容，助力军人再就业。</w:t>
      </w:r>
    </w:p>
    <w:p w14:paraId="1FADD4E9" w14:textId="77777777" w:rsidR="00602083" w:rsidRDefault="00E51994">
      <w:pPr>
        <w:pStyle w:val="3"/>
        <w:spacing w:before="192" w:after="240"/>
        <w:ind w:firstLine="480"/>
      </w:pPr>
      <w:bookmarkStart w:id="76" w:name="_Toc92734360"/>
      <w:bookmarkStart w:id="77" w:name="_Toc18162"/>
      <w:bookmarkStart w:id="78" w:name="_Toc1147"/>
      <w:bookmarkStart w:id="79" w:name="_Toc93925274"/>
      <w:r>
        <w:rPr>
          <w:rFonts w:hint="eastAsia"/>
        </w:rPr>
        <w:t>（三）数字经济发展带来的就业替代影响</w:t>
      </w:r>
      <w:bookmarkEnd w:id="76"/>
      <w:bookmarkEnd w:id="77"/>
      <w:bookmarkEnd w:id="78"/>
      <w:bookmarkEnd w:id="79"/>
    </w:p>
    <w:p w14:paraId="6ACDB9DF" w14:textId="77777777" w:rsidR="00602083" w:rsidRDefault="00E51994">
      <w:pPr>
        <w:pStyle w:val="4"/>
      </w:pPr>
      <w:bookmarkStart w:id="80" w:name="_Toc20736"/>
      <w:bookmarkStart w:id="81" w:name="_Toc22846"/>
      <w:bookmarkStart w:id="82" w:name="_Toc92734361"/>
      <w:r>
        <w:rPr>
          <w:rFonts w:hint="eastAsia"/>
        </w:rPr>
        <w:t>1</w:t>
      </w:r>
      <w:r>
        <w:t>.</w:t>
      </w:r>
      <w:r>
        <w:rPr>
          <w:rFonts w:hint="eastAsia"/>
        </w:rPr>
        <w:t>“机器换人”风险</w:t>
      </w:r>
      <w:bookmarkEnd w:id="80"/>
      <w:r>
        <w:rPr>
          <w:rFonts w:hint="eastAsia"/>
        </w:rPr>
        <w:t>正在显现</w:t>
      </w:r>
      <w:bookmarkEnd w:id="81"/>
      <w:bookmarkEnd w:id="82"/>
    </w:p>
    <w:p w14:paraId="716087EF"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智能化、自动化技术的发展不仅能强化机器相比于人力的投入产出比优势，而且能够大幅降低机器设备的价格，使得原本相同的资本投资可以购买更多能够替代人力的设备；此外，机器设备效能的提升也会使管理、运营、维护人员不断减少，从而造成人工岗位的减少。</w:t>
      </w:r>
      <w:r>
        <w:rPr>
          <w:rFonts w:eastAsia="宋体" w:cs="Times New Roman" w:hint="eastAsia"/>
          <w:sz w:val="24"/>
          <w:szCs w:val="24"/>
        </w:rPr>
        <w:t>Daron Acemoglu</w:t>
      </w:r>
      <w:r>
        <w:rPr>
          <w:rFonts w:eastAsia="宋体" w:cs="Times New Roman" w:hint="eastAsia"/>
          <w:sz w:val="24"/>
          <w:szCs w:val="24"/>
        </w:rPr>
        <w:t>等研究发现，</w:t>
      </w:r>
      <w:r>
        <w:rPr>
          <w:rFonts w:eastAsia="宋体" w:cs="Times New Roman" w:hint="eastAsia"/>
          <w:sz w:val="24"/>
          <w:szCs w:val="24"/>
        </w:rPr>
        <w:t>1990</w:t>
      </w:r>
      <w:r>
        <w:rPr>
          <w:rFonts w:eastAsia="宋体" w:cs="Times New Roman" w:hint="eastAsia"/>
          <w:sz w:val="24"/>
          <w:szCs w:val="24"/>
        </w:rPr>
        <w:t>年到</w:t>
      </w:r>
      <w:r>
        <w:rPr>
          <w:rFonts w:eastAsia="宋体" w:cs="Times New Roman" w:hint="eastAsia"/>
          <w:sz w:val="24"/>
          <w:szCs w:val="24"/>
        </w:rPr>
        <w:t>2007</w:t>
      </w:r>
      <w:r>
        <w:rPr>
          <w:rFonts w:eastAsia="宋体" w:cs="Times New Roman" w:hint="eastAsia"/>
          <w:sz w:val="24"/>
          <w:szCs w:val="24"/>
        </w:rPr>
        <w:t>年，每千名美国工人中增加</w:t>
      </w:r>
      <w:r>
        <w:rPr>
          <w:rFonts w:eastAsia="宋体" w:cs="Times New Roman" w:hint="eastAsia"/>
          <w:sz w:val="24"/>
          <w:szCs w:val="24"/>
        </w:rPr>
        <w:t>1</w:t>
      </w:r>
      <w:r>
        <w:rPr>
          <w:rFonts w:eastAsia="宋体" w:cs="Times New Roman" w:hint="eastAsia"/>
          <w:sz w:val="24"/>
          <w:szCs w:val="24"/>
        </w:rPr>
        <w:t>个机器人，全美就业人口比下降</w:t>
      </w:r>
      <w:r>
        <w:rPr>
          <w:rFonts w:eastAsia="宋体" w:cs="Times New Roman" w:hint="eastAsia"/>
          <w:sz w:val="24"/>
          <w:szCs w:val="24"/>
        </w:rPr>
        <w:t>0.2%</w:t>
      </w:r>
      <w:r>
        <w:rPr>
          <w:rFonts w:eastAsia="宋体" w:cs="Times New Roman" w:hint="eastAsia"/>
          <w:sz w:val="24"/>
          <w:szCs w:val="24"/>
        </w:rPr>
        <w:t>，工人的工资降低</w:t>
      </w:r>
      <w:r>
        <w:rPr>
          <w:rFonts w:eastAsia="宋体" w:cs="Times New Roman" w:hint="eastAsia"/>
          <w:sz w:val="24"/>
          <w:szCs w:val="24"/>
        </w:rPr>
        <w:t>0.42%</w:t>
      </w:r>
      <w:r>
        <w:rPr>
          <w:rFonts w:eastAsia="宋体" w:cs="Times New Roman" w:hint="eastAsia"/>
          <w:sz w:val="24"/>
          <w:szCs w:val="24"/>
        </w:rPr>
        <w:t>。这意</w:t>
      </w:r>
      <w:r>
        <w:rPr>
          <w:rFonts w:eastAsia="宋体" w:cs="Times New Roman" w:hint="eastAsia"/>
          <w:sz w:val="24"/>
          <w:szCs w:val="24"/>
        </w:rPr>
        <w:lastRenderedPageBreak/>
        <w:t>味着，美国制造业中每增加</w:t>
      </w:r>
      <w:r>
        <w:rPr>
          <w:rFonts w:eastAsia="宋体" w:cs="Times New Roman" w:hint="eastAsia"/>
          <w:sz w:val="24"/>
          <w:szCs w:val="24"/>
        </w:rPr>
        <w:t>1</w:t>
      </w:r>
      <w:r>
        <w:rPr>
          <w:rFonts w:eastAsia="宋体" w:cs="Times New Roman" w:hint="eastAsia"/>
          <w:sz w:val="24"/>
          <w:szCs w:val="24"/>
        </w:rPr>
        <w:t>个机器人，平均会取代</w:t>
      </w:r>
      <w:r>
        <w:rPr>
          <w:rFonts w:eastAsia="宋体" w:cs="Times New Roman" w:hint="eastAsia"/>
          <w:sz w:val="24"/>
          <w:szCs w:val="24"/>
        </w:rPr>
        <w:t>3.3</w:t>
      </w:r>
      <w:r>
        <w:rPr>
          <w:rFonts w:eastAsia="宋体" w:cs="Times New Roman" w:hint="eastAsia"/>
          <w:sz w:val="24"/>
          <w:szCs w:val="24"/>
        </w:rPr>
        <w:t>名工人</w:t>
      </w:r>
      <w:r>
        <w:rPr>
          <w:rFonts w:eastAsia="宋体" w:cs="Times New Roman"/>
          <w:sz w:val="24"/>
          <w:szCs w:val="24"/>
          <w:vertAlign w:val="superscript"/>
        </w:rPr>
        <w:t>[</w:t>
      </w:r>
      <w:r>
        <w:rPr>
          <w:rFonts w:eastAsia="宋体" w:cs="Times New Roman"/>
          <w:sz w:val="24"/>
          <w:szCs w:val="24"/>
          <w:vertAlign w:val="superscript"/>
        </w:rPr>
        <w:footnoteReference w:id="55"/>
      </w:r>
      <w:r>
        <w:rPr>
          <w:rFonts w:eastAsia="宋体" w:cs="Times New Roman"/>
          <w:sz w:val="24"/>
          <w:szCs w:val="24"/>
          <w:vertAlign w:val="superscript"/>
        </w:rPr>
        <w:t>]</w:t>
      </w:r>
      <w:r>
        <w:rPr>
          <w:rFonts w:eastAsia="宋体" w:cs="Times New Roman" w:hint="eastAsia"/>
          <w:sz w:val="24"/>
          <w:szCs w:val="24"/>
        </w:rPr>
        <w:t>。相较于发达国家，以中、低成本劳动力作为竞争优势的发展中国家受到的就业冲击会更加明显。据世界银行</w:t>
      </w:r>
      <w:r>
        <w:rPr>
          <w:rFonts w:eastAsia="宋体" w:cs="Times New Roman" w:hint="eastAsia"/>
          <w:sz w:val="24"/>
          <w:szCs w:val="24"/>
        </w:rPr>
        <w:t>2016</w:t>
      </w:r>
      <w:r>
        <w:rPr>
          <w:rFonts w:eastAsia="宋体" w:cs="Times New Roman" w:hint="eastAsia"/>
          <w:sz w:val="24"/>
          <w:szCs w:val="24"/>
        </w:rPr>
        <w:t>年的发展报告估计，未来</w:t>
      </w:r>
      <w:r>
        <w:rPr>
          <w:rFonts w:eastAsia="宋体" w:cs="Times New Roman" w:hint="eastAsia"/>
          <w:sz w:val="24"/>
          <w:szCs w:val="24"/>
        </w:rPr>
        <w:t>20</w:t>
      </w:r>
      <w:r>
        <w:rPr>
          <w:rFonts w:eastAsia="宋体" w:cs="Times New Roman" w:hint="eastAsia"/>
          <w:sz w:val="24"/>
          <w:szCs w:val="24"/>
        </w:rPr>
        <w:t>年</w:t>
      </w:r>
      <w:r>
        <w:rPr>
          <w:rFonts w:eastAsia="宋体" w:cs="Times New Roman" w:hint="eastAsia"/>
          <w:sz w:val="24"/>
          <w:szCs w:val="24"/>
        </w:rPr>
        <w:t>OECD</w:t>
      </w:r>
      <w:r>
        <w:rPr>
          <w:rFonts w:eastAsia="宋体" w:cs="Times New Roman" w:hint="eastAsia"/>
          <w:sz w:val="24"/>
          <w:szCs w:val="24"/>
        </w:rPr>
        <w:t>国家</w:t>
      </w:r>
      <w:r>
        <w:rPr>
          <w:rFonts w:eastAsia="宋体" w:cs="Times New Roman" w:hint="eastAsia"/>
          <w:sz w:val="24"/>
          <w:szCs w:val="24"/>
        </w:rPr>
        <w:t>57%</w:t>
      </w:r>
      <w:r>
        <w:rPr>
          <w:rFonts w:eastAsia="宋体" w:cs="Times New Roman" w:hint="eastAsia"/>
          <w:sz w:val="24"/>
          <w:szCs w:val="24"/>
        </w:rPr>
        <w:t>的工作将被人工智能替代。</w:t>
      </w:r>
      <w:r>
        <w:rPr>
          <w:rFonts w:eastAsia="宋体" w:cs="Times New Roman" w:hint="eastAsia"/>
          <w:sz w:val="24"/>
          <w:szCs w:val="24"/>
        </w:rPr>
        <w:t>Frey</w:t>
      </w:r>
      <w:r>
        <w:rPr>
          <w:rFonts w:eastAsia="宋体" w:cs="Times New Roman" w:hint="eastAsia"/>
          <w:sz w:val="24"/>
          <w:szCs w:val="24"/>
        </w:rPr>
        <w:t>和</w:t>
      </w:r>
      <w:r>
        <w:rPr>
          <w:rFonts w:eastAsia="宋体" w:cs="Times New Roman" w:hint="eastAsia"/>
          <w:sz w:val="24"/>
          <w:szCs w:val="24"/>
        </w:rPr>
        <w:t>Osborne</w:t>
      </w:r>
      <w:r>
        <w:rPr>
          <w:rFonts w:eastAsia="宋体" w:cs="Times New Roman" w:hint="eastAsia"/>
          <w:sz w:val="24"/>
          <w:szCs w:val="24"/>
        </w:rPr>
        <w:t>（</w:t>
      </w:r>
      <w:r>
        <w:rPr>
          <w:rFonts w:eastAsia="宋体" w:cs="Times New Roman" w:hint="eastAsia"/>
          <w:sz w:val="24"/>
          <w:szCs w:val="24"/>
        </w:rPr>
        <w:t>2015</w:t>
      </w:r>
      <w:r>
        <w:rPr>
          <w:rFonts w:eastAsia="宋体" w:cs="Times New Roman" w:hint="eastAsia"/>
          <w:sz w:val="24"/>
          <w:szCs w:val="24"/>
        </w:rPr>
        <w:t>）认为，未来中国</w:t>
      </w:r>
      <w:r>
        <w:rPr>
          <w:rFonts w:eastAsia="宋体" w:cs="Times New Roman" w:hint="eastAsia"/>
          <w:sz w:val="24"/>
          <w:szCs w:val="24"/>
        </w:rPr>
        <w:t>77</w:t>
      </w:r>
      <w:r>
        <w:rPr>
          <w:rFonts w:eastAsia="宋体" w:cs="Times New Roman" w:hint="eastAsia"/>
          <w:sz w:val="24"/>
          <w:szCs w:val="24"/>
        </w:rPr>
        <w:t>％的就业岗位、印度</w:t>
      </w:r>
      <w:r>
        <w:rPr>
          <w:rFonts w:eastAsia="宋体" w:cs="Times New Roman" w:hint="eastAsia"/>
          <w:sz w:val="24"/>
          <w:szCs w:val="24"/>
        </w:rPr>
        <w:t>69</w:t>
      </w:r>
      <w:r>
        <w:rPr>
          <w:rFonts w:eastAsia="宋体" w:cs="Times New Roman" w:hint="eastAsia"/>
          <w:sz w:val="24"/>
          <w:szCs w:val="24"/>
        </w:rPr>
        <w:t>％的就业岗位、埃塞俄比亚</w:t>
      </w:r>
      <w:r>
        <w:rPr>
          <w:rFonts w:eastAsia="宋体" w:cs="Times New Roman" w:hint="eastAsia"/>
          <w:sz w:val="24"/>
          <w:szCs w:val="24"/>
        </w:rPr>
        <w:t>85</w:t>
      </w:r>
      <w:r>
        <w:rPr>
          <w:rFonts w:eastAsia="宋体" w:cs="Times New Roman" w:hint="eastAsia"/>
          <w:sz w:val="24"/>
          <w:szCs w:val="24"/>
        </w:rPr>
        <w:t>％的就业岗位、乌兹别克斯坦</w:t>
      </w:r>
      <w:r>
        <w:rPr>
          <w:rFonts w:eastAsia="宋体" w:cs="Times New Roman" w:hint="eastAsia"/>
          <w:sz w:val="24"/>
          <w:szCs w:val="24"/>
        </w:rPr>
        <w:t>55</w:t>
      </w:r>
      <w:r>
        <w:rPr>
          <w:rFonts w:eastAsia="宋体" w:cs="Times New Roman" w:hint="eastAsia"/>
          <w:sz w:val="24"/>
          <w:szCs w:val="24"/>
        </w:rPr>
        <w:t>％的就业岗位面临被智能机器替代的风险。据麦肯锡预测，到</w:t>
      </w:r>
      <w:r>
        <w:rPr>
          <w:rFonts w:eastAsia="宋体" w:cs="Times New Roman" w:hint="eastAsia"/>
          <w:sz w:val="24"/>
          <w:szCs w:val="24"/>
        </w:rPr>
        <w:t>2030</w:t>
      </w:r>
      <w:r>
        <w:rPr>
          <w:rFonts w:eastAsia="宋体" w:cs="Times New Roman" w:hint="eastAsia"/>
          <w:sz w:val="24"/>
          <w:szCs w:val="24"/>
        </w:rPr>
        <w:t>年，中国将至少有</w:t>
      </w:r>
      <w:r>
        <w:rPr>
          <w:rFonts w:eastAsia="宋体" w:cs="Times New Roman" w:hint="eastAsia"/>
          <w:sz w:val="24"/>
          <w:szCs w:val="24"/>
        </w:rPr>
        <w:t>1.18</w:t>
      </w:r>
      <w:r>
        <w:rPr>
          <w:rFonts w:eastAsia="宋体" w:cs="Times New Roman" w:hint="eastAsia"/>
          <w:sz w:val="24"/>
          <w:szCs w:val="24"/>
        </w:rPr>
        <w:t>亿人被人工智能或机器人替代，他们需要学习新的技能，适应与人工智能协作分工，另外大约有</w:t>
      </w:r>
      <w:r>
        <w:rPr>
          <w:rFonts w:eastAsia="宋体" w:cs="Times New Roman" w:hint="eastAsia"/>
          <w:sz w:val="24"/>
          <w:szCs w:val="24"/>
        </w:rPr>
        <w:t>700-1200</w:t>
      </w:r>
      <w:r>
        <w:rPr>
          <w:rFonts w:eastAsia="宋体" w:cs="Times New Roman" w:hint="eastAsia"/>
          <w:sz w:val="24"/>
          <w:szCs w:val="24"/>
        </w:rPr>
        <w:t>万人转换职业</w:t>
      </w:r>
      <w:r>
        <w:rPr>
          <w:rFonts w:eastAsia="宋体" w:cs="Times New Roman"/>
          <w:sz w:val="24"/>
          <w:szCs w:val="24"/>
          <w:vertAlign w:val="superscript"/>
        </w:rPr>
        <w:t>[</w:t>
      </w:r>
      <w:r>
        <w:rPr>
          <w:rFonts w:eastAsia="宋体" w:cs="Times New Roman"/>
          <w:sz w:val="24"/>
          <w:szCs w:val="24"/>
          <w:vertAlign w:val="superscript"/>
        </w:rPr>
        <w:footnoteReference w:id="56"/>
      </w:r>
      <w:r>
        <w:rPr>
          <w:rFonts w:eastAsia="宋体" w:cs="Times New Roman"/>
          <w:sz w:val="24"/>
          <w:szCs w:val="24"/>
          <w:vertAlign w:val="superscript"/>
        </w:rPr>
        <w:t>]</w:t>
      </w:r>
      <w:r>
        <w:rPr>
          <w:rFonts w:eastAsia="宋体" w:cs="Times New Roman" w:hint="eastAsia"/>
          <w:sz w:val="24"/>
          <w:szCs w:val="24"/>
        </w:rPr>
        <w:t>。</w:t>
      </w:r>
    </w:p>
    <w:p w14:paraId="1F4BD9A2"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数字经济对不同类型的劳动者产生的冲击具有显著差异。</w:t>
      </w:r>
      <w:r>
        <w:rPr>
          <w:rFonts w:eastAsia="宋体" w:cs="Times New Roman" w:hint="eastAsia"/>
          <w:sz w:val="24"/>
          <w:szCs w:val="24"/>
        </w:rPr>
        <w:t>根据劳动内容，可分为程式化工作和非程式化工作；根据劳动技能，可分为体力劳动与脑力劳动。数字经济对程式化工作冲击最大，且其替代作用正从体力劳动向脑力劳动延伸扩大，这对部分白领和蓝领工人产生巨大冲击。根据世界经济论坛发布的《</w:t>
      </w:r>
      <w:r>
        <w:rPr>
          <w:rFonts w:eastAsia="宋体" w:cs="Times New Roman" w:hint="eastAsia"/>
          <w:sz w:val="24"/>
          <w:szCs w:val="24"/>
        </w:rPr>
        <w:t>2016</w:t>
      </w:r>
      <w:r>
        <w:rPr>
          <w:rFonts w:eastAsia="宋体" w:cs="Times New Roman" w:hint="eastAsia"/>
          <w:sz w:val="24"/>
          <w:szCs w:val="24"/>
        </w:rPr>
        <w:t>全球人力资本报告》随着自动化和人工智能的持续渗透，全球对劳动力的需求尤其是是对白领和蓝领技工的需求将减少</w:t>
      </w:r>
      <w:r>
        <w:rPr>
          <w:rFonts w:eastAsia="宋体" w:cs="Times New Roman" w:hint="eastAsia"/>
          <w:sz w:val="24"/>
          <w:szCs w:val="24"/>
        </w:rPr>
        <w:t>700</w:t>
      </w:r>
      <w:r>
        <w:rPr>
          <w:rFonts w:eastAsia="宋体" w:cs="Times New Roman" w:hint="eastAsia"/>
          <w:sz w:val="24"/>
          <w:szCs w:val="24"/>
        </w:rPr>
        <w:t>万人。就我国目前发展态势而言，“机器换人”的风险主要体现在程式化的体力劳动领域，制造业工人等群体面临较大的失业风险。近年来，工业机器人行业发展迅速，已连续</w:t>
      </w:r>
      <w:r>
        <w:rPr>
          <w:rFonts w:eastAsia="宋体" w:cs="Times New Roman" w:hint="eastAsia"/>
          <w:sz w:val="24"/>
          <w:szCs w:val="24"/>
        </w:rPr>
        <w:t>7</w:t>
      </w:r>
      <w:r>
        <w:rPr>
          <w:rFonts w:eastAsia="宋体" w:cs="Times New Roman" w:hint="eastAsia"/>
          <w:sz w:val="24"/>
          <w:szCs w:val="24"/>
        </w:rPr>
        <w:t>年成为世界工业机器人销量最多的国家。截至</w:t>
      </w:r>
      <w:r>
        <w:rPr>
          <w:rFonts w:eastAsia="宋体" w:cs="Times New Roman" w:hint="eastAsia"/>
          <w:sz w:val="24"/>
          <w:szCs w:val="24"/>
        </w:rPr>
        <w:t xml:space="preserve">2020 </w:t>
      </w:r>
      <w:r>
        <w:rPr>
          <w:rFonts w:eastAsia="宋体" w:cs="Times New Roman" w:hint="eastAsia"/>
          <w:sz w:val="24"/>
          <w:szCs w:val="24"/>
        </w:rPr>
        <w:t>年，我国工业机器人在各行业的存有量已经超过</w:t>
      </w:r>
      <w:r>
        <w:rPr>
          <w:rFonts w:eastAsia="宋体" w:cs="Times New Roman" w:hint="eastAsia"/>
          <w:sz w:val="24"/>
          <w:szCs w:val="24"/>
        </w:rPr>
        <w:t>80</w:t>
      </w:r>
      <w:r>
        <w:rPr>
          <w:rFonts w:eastAsia="宋体" w:cs="Times New Roman" w:hint="eastAsia"/>
          <w:sz w:val="24"/>
          <w:szCs w:val="24"/>
        </w:rPr>
        <w:t>万。而制造业作为我国重要的就业蓄水池，由于产业链价值水平有待提升，大量工作岗位都集中于生产组装等中低端、易被机器人替代的环节，结构性失业风险亟待高度重视。</w:t>
      </w:r>
    </w:p>
    <w:p w14:paraId="3BE8CE6E" w14:textId="77777777" w:rsidR="00602083" w:rsidRDefault="00E51994">
      <w:pPr>
        <w:pStyle w:val="affd"/>
      </w:pPr>
      <w:r>
        <w:rPr>
          <w:rFonts w:hint="eastAsia"/>
          <w:noProof/>
        </w:rPr>
        <w:drawing>
          <wp:inline distT="0" distB="0" distL="114300" distR="114300" wp14:anchorId="41C39BEC" wp14:editId="08418CF2">
            <wp:extent cx="3337560" cy="2019300"/>
            <wp:effectExtent l="0" t="0" r="152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rcRect t="3637"/>
                    <a:stretch>
                      <a:fillRect/>
                    </a:stretch>
                  </pic:blipFill>
                  <pic:spPr>
                    <a:xfrm>
                      <a:off x="0" y="0"/>
                      <a:ext cx="3337560" cy="2019300"/>
                    </a:xfrm>
                    <a:prstGeom prst="rect">
                      <a:avLst/>
                    </a:prstGeom>
                    <a:noFill/>
                    <a:ln>
                      <a:noFill/>
                    </a:ln>
                  </pic:spPr>
                </pic:pic>
              </a:graphicData>
            </a:graphic>
          </wp:inline>
        </w:drawing>
      </w:r>
    </w:p>
    <w:p w14:paraId="6D441CBD" w14:textId="77777777" w:rsidR="00602083" w:rsidRDefault="00E51994">
      <w:pPr>
        <w:pStyle w:val="affc"/>
        <w:rPr>
          <w:lang w:val="zh-CN"/>
        </w:rPr>
      </w:pPr>
      <w:r>
        <w:rPr>
          <w:rFonts w:hint="eastAsia"/>
          <w:lang w:val="zh-CN"/>
        </w:rPr>
        <w:lastRenderedPageBreak/>
        <w:t>图</w:t>
      </w:r>
      <w:r>
        <w:rPr>
          <w:rFonts w:hint="eastAsia"/>
          <w:lang w:val="zh-CN"/>
        </w:rPr>
        <w:t>4</w:t>
      </w:r>
      <w:r>
        <w:rPr>
          <w:lang w:val="zh-CN"/>
        </w:rPr>
        <w:t xml:space="preserve"> </w:t>
      </w:r>
      <w:r>
        <w:rPr>
          <w:rFonts w:hint="eastAsia"/>
        </w:rPr>
        <w:t xml:space="preserve"> </w:t>
      </w:r>
      <w:r>
        <w:rPr>
          <w:rFonts w:hint="eastAsia"/>
        </w:rPr>
        <w:t>“机器换人”风险对不同类型工作的冲击</w:t>
      </w:r>
    </w:p>
    <w:p w14:paraId="690F6323" w14:textId="77777777" w:rsidR="00602083" w:rsidRDefault="00E51994">
      <w:pPr>
        <w:pStyle w:val="4"/>
      </w:pPr>
      <w:bookmarkStart w:id="83" w:name="_Toc1845"/>
      <w:bookmarkStart w:id="84" w:name="_Toc92734362"/>
      <w:bookmarkStart w:id="85" w:name="_Toc22669"/>
      <w:r>
        <w:rPr>
          <w:rFonts w:hint="eastAsia"/>
        </w:rPr>
        <w:t>2</w:t>
      </w:r>
      <w:r>
        <w:t>.</w:t>
      </w:r>
      <w:r>
        <w:rPr>
          <w:rFonts w:hint="eastAsia"/>
        </w:rPr>
        <w:t>数字经济就业结构明显失衡</w:t>
      </w:r>
      <w:bookmarkEnd w:id="83"/>
      <w:bookmarkEnd w:id="84"/>
      <w:bookmarkEnd w:id="85"/>
    </w:p>
    <w:p w14:paraId="0E5B25E3"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近年来，我国就业人员加速向第三产业转移，劳动力占比从</w:t>
      </w:r>
      <w:r>
        <w:rPr>
          <w:rFonts w:eastAsia="宋体" w:cs="Times New Roman" w:hint="eastAsia"/>
          <w:sz w:val="24"/>
          <w:szCs w:val="24"/>
        </w:rPr>
        <w:t>1978</w:t>
      </w:r>
      <w:r>
        <w:rPr>
          <w:rFonts w:eastAsia="宋体" w:cs="Times New Roman" w:hint="eastAsia"/>
          <w:sz w:val="24"/>
          <w:szCs w:val="24"/>
        </w:rPr>
        <w:t>年的</w:t>
      </w:r>
      <w:r>
        <w:rPr>
          <w:rFonts w:eastAsia="宋体" w:cs="Times New Roman" w:hint="eastAsia"/>
          <w:sz w:val="24"/>
          <w:szCs w:val="24"/>
        </w:rPr>
        <w:t>12.2%</w:t>
      </w:r>
      <w:r>
        <w:rPr>
          <w:rFonts w:eastAsia="宋体" w:cs="Times New Roman" w:hint="eastAsia"/>
          <w:sz w:val="24"/>
          <w:szCs w:val="24"/>
        </w:rPr>
        <w:t>提升至</w:t>
      </w:r>
      <w:r>
        <w:rPr>
          <w:rFonts w:eastAsia="宋体" w:cs="Times New Roman" w:hint="eastAsia"/>
          <w:sz w:val="24"/>
          <w:szCs w:val="24"/>
        </w:rPr>
        <w:t>2019</w:t>
      </w:r>
      <w:r>
        <w:rPr>
          <w:rFonts w:eastAsia="宋体" w:cs="Times New Roman" w:hint="eastAsia"/>
          <w:sz w:val="24"/>
          <w:szCs w:val="24"/>
        </w:rPr>
        <w:t>年的</w:t>
      </w:r>
      <w:r>
        <w:rPr>
          <w:rFonts w:eastAsia="宋体" w:cs="Times New Roman" w:hint="eastAsia"/>
          <w:sz w:val="24"/>
          <w:szCs w:val="24"/>
        </w:rPr>
        <w:t>47.4%</w:t>
      </w:r>
      <w:r>
        <w:rPr>
          <w:rFonts w:eastAsia="宋体" w:cs="Times New Roman" w:hint="eastAsia"/>
          <w:sz w:val="24"/>
          <w:szCs w:val="24"/>
        </w:rPr>
        <w:t>，且增速持续上升。数字人才的产业分布不均衡情况更加显著，数字化人才大量集中在第三产业。</w:t>
      </w:r>
      <w:r>
        <w:rPr>
          <w:rFonts w:eastAsia="宋体" w:cs="Times New Roman" w:hint="eastAsia"/>
          <w:sz w:val="24"/>
          <w:szCs w:val="24"/>
        </w:rPr>
        <w:t>2018</w:t>
      </w:r>
      <w:r>
        <w:rPr>
          <w:rFonts w:eastAsia="宋体" w:cs="Times New Roman" w:hint="eastAsia"/>
          <w:sz w:val="24"/>
          <w:szCs w:val="24"/>
        </w:rPr>
        <w:t>年第一产业的数字化就业岗位为</w:t>
      </w:r>
      <w:r>
        <w:rPr>
          <w:rFonts w:eastAsia="宋体" w:cs="Times New Roman" w:hint="eastAsia"/>
          <w:sz w:val="24"/>
          <w:szCs w:val="24"/>
        </w:rPr>
        <w:t>1928</w:t>
      </w:r>
      <w:r>
        <w:rPr>
          <w:rFonts w:eastAsia="宋体" w:cs="Times New Roman" w:hint="eastAsia"/>
          <w:sz w:val="24"/>
          <w:szCs w:val="24"/>
        </w:rPr>
        <w:t>万个，占第一产业就业总人数的比重为</w:t>
      </w:r>
      <w:r>
        <w:rPr>
          <w:rFonts w:eastAsia="宋体" w:cs="Times New Roman" w:hint="eastAsia"/>
          <w:sz w:val="24"/>
          <w:szCs w:val="24"/>
        </w:rPr>
        <w:t>9.6%</w:t>
      </w:r>
      <w:r>
        <w:rPr>
          <w:rFonts w:eastAsia="宋体" w:cs="Times New Roman" w:hint="eastAsia"/>
          <w:sz w:val="24"/>
          <w:szCs w:val="24"/>
        </w:rPr>
        <w:t>；第二产业为</w:t>
      </w:r>
      <w:r>
        <w:rPr>
          <w:rFonts w:eastAsia="宋体" w:cs="Times New Roman" w:hint="eastAsia"/>
          <w:sz w:val="24"/>
          <w:szCs w:val="24"/>
        </w:rPr>
        <w:t>5221</w:t>
      </w:r>
      <w:r>
        <w:rPr>
          <w:rFonts w:eastAsia="宋体" w:cs="Times New Roman" w:hint="eastAsia"/>
          <w:sz w:val="24"/>
          <w:szCs w:val="24"/>
        </w:rPr>
        <w:t>万个，占比为</w:t>
      </w:r>
      <w:r>
        <w:rPr>
          <w:rFonts w:eastAsia="宋体" w:cs="Times New Roman" w:hint="eastAsia"/>
          <w:sz w:val="24"/>
          <w:szCs w:val="24"/>
        </w:rPr>
        <w:t>23.7%</w:t>
      </w:r>
      <w:r>
        <w:rPr>
          <w:rFonts w:eastAsia="宋体" w:cs="Times New Roman" w:hint="eastAsia"/>
          <w:sz w:val="24"/>
          <w:szCs w:val="24"/>
        </w:rPr>
        <w:t>；第三产业为</w:t>
      </w:r>
      <w:r>
        <w:rPr>
          <w:rFonts w:eastAsia="宋体" w:cs="Times New Roman" w:hint="eastAsia"/>
          <w:sz w:val="24"/>
          <w:szCs w:val="24"/>
        </w:rPr>
        <w:t>13426</w:t>
      </w:r>
      <w:r>
        <w:rPr>
          <w:rFonts w:eastAsia="宋体" w:cs="Times New Roman" w:hint="eastAsia"/>
          <w:sz w:val="24"/>
          <w:szCs w:val="24"/>
        </w:rPr>
        <w:t>万个，占比为</w:t>
      </w:r>
      <w:r>
        <w:rPr>
          <w:rFonts w:eastAsia="宋体" w:cs="Times New Roman" w:hint="eastAsia"/>
          <w:sz w:val="24"/>
          <w:szCs w:val="24"/>
        </w:rPr>
        <w:t>37.2%</w:t>
      </w:r>
      <w:r>
        <w:rPr>
          <w:rFonts w:eastAsia="宋体" w:cs="Times New Roman" w:hint="eastAsia"/>
          <w:sz w:val="24"/>
          <w:szCs w:val="24"/>
        </w:rPr>
        <w:t>。可见，第三产业的数字化人才占比远远超过其它产业。从产业吸纳的数字化人才来看，第一产业吸纳</w:t>
      </w:r>
      <w:r>
        <w:rPr>
          <w:rFonts w:eastAsia="宋体" w:cs="Times New Roman" w:hint="eastAsia"/>
          <w:sz w:val="24"/>
          <w:szCs w:val="24"/>
        </w:rPr>
        <w:t>9.4%</w:t>
      </w:r>
      <w:r>
        <w:rPr>
          <w:rFonts w:eastAsia="宋体" w:cs="Times New Roman" w:hint="eastAsia"/>
          <w:sz w:val="24"/>
          <w:szCs w:val="24"/>
        </w:rPr>
        <w:t>，第二产业吸纳</w:t>
      </w:r>
      <w:r>
        <w:rPr>
          <w:rFonts w:eastAsia="宋体" w:cs="Times New Roman" w:hint="eastAsia"/>
          <w:sz w:val="24"/>
          <w:szCs w:val="24"/>
        </w:rPr>
        <w:t>25.3%</w:t>
      </w:r>
      <w:r>
        <w:rPr>
          <w:rFonts w:eastAsia="宋体" w:cs="Times New Roman" w:hint="eastAsia"/>
          <w:sz w:val="24"/>
          <w:szCs w:val="24"/>
        </w:rPr>
        <w:t>，第三产业吸纳了超过</w:t>
      </w:r>
      <w:r>
        <w:rPr>
          <w:rFonts w:eastAsia="宋体" w:cs="Times New Roman" w:hint="eastAsia"/>
          <w:sz w:val="24"/>
          <w:szCs w:val="24"/>
        </w:rPr>
        <w:t>65%</w:t>
      </w:r>
      <w:r>
        <w:rPr>
          <w:rFonts w:eastAsia="宋体" w:cs="Times New Roman" w:hint="eastAsia"/>
          <w:sz w:val="24"/>
          <w:szCs w:val="24"/>
        </w:rPr>
        <w:t>的数字化劳动力</w:t>
      </w:r>
      <w:r>
        <w:rPr>
          <w:rFonts w:eastAsia="宋体" w:cs="Times New Roman"/>
          <w:sz w:val="24"/>
          <w:szCs w:val="24"/>
          <w:vertAlign w:val="superscript"/>
        </w:rPr>
        <w:t>[</w:t>
      </w:r>
      <w:r>
        <w:rPr>
          <w:rFonts w:eastAsia="宋体" w:cs="Times New Roman"/>
          <w:sz w:val="24"/>
          <w:szCs w:val="24"/>
          <w:vertAlign w:val="superscript"/>
        </w:rPr>
        <w:footnoteReference w:id="57"/>
      </w:r>
      <w:r>
        <w:rPr>
          <w:rFonts w:eastAsia="宋体" w:cs="Times New Roman"/>
          <w:sz w:val="24"/>
          <w:szCs w:val="24"/>
          <w:vertAlign w:val="superscript"/>
        </w:rPr>
        <w:t>]</w:t>
      </w:r>
      <w:r>
        <w:rPr>
          <w:rFonts w:eastAsia="宋体" w:cs="Times New Roman" w:hint="eastAsia"/>
          <w:sz w:val="24"/>
          <w:szCs w:val="24"/>
        </w:rPr>
        <w:t>。</w:t>
      </w:r>
    </w:p>
    <w:p w14:paraId="59C925B8"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随着各个行业数字化转型的广度和深度加速拓展，部分劳动密集型行业将会由于产业的创新升级受到严重冲击，继而引发较大规模失业现象。这既可能是由于数字经济发展创新使得传统生产、流通过程发生重构，导致工作岗位减少甚至消失，如供需直接对接匹配的特性压缩了代理商、分销商、经销商等诸多中间环节；也可能是因为数字经济新业态凭借规模效应、网络效应、锁定效应等产生的低成本高收益特征，相较于传统行业具备更为强大的竞争力，从而使得传统行业出现衰退、从业者受到冲击。如电子商务行业的发展引发了传统商品交易市场的衰落，传统商品交易市场就业人数占批发零售业就业总人数比重从</w:t>
      </w:r>
      <w:r>
        <w:rPr>
          <w:rFonts w:eastAsia="宋体" w:cs="Times New Roman" w:hint="eastAsia"/>
          <w:sz w:val="24"/>
          <w:szCs w:val="24"/>
        </w:rPr>
        <w:t>2007</w:t>
      </w:r>
      <w:r>
        <w:rPr>
          <w:rFonts w:eastAsia="宋体" w:cs="Times New Roman" w:hint="eastAsia"/>
          <w:sz w:val="24"/>
          <w:szCs w:val="24"/>
        </w:rPr>
        <w:t>年的</w:t>
      </w:r>
      <w:r>
        <w:rPr>
          <w:rFonts w:eastAsia="宋体" w:cs="Times New Roman" w:hint="eastAsia"/>
          <w:sz w:val="24"/>
          <w:szCs w:val="24"/>
        </w:rPr>
        <w:t>33.0%</w:t>
      </w:r>
      <w:r>
        <w:rPr>
          <w:rFonts w:eastAsia="宋体" w:cs="Times New Roman" w:hint="eastAsia"/>
          <w:sz w:val="24"/>
          <w:szCs w:val="24"/>
        </w:rPr>
        <w:t>逐年下降，到</w:t>
      </w:r>
      <w:r>
        <w:rPr>
          <w:rFonts w:eastAsia="宋体" w:cs="Times New Roman" w:hint="eastAsia"/>
          <w:sz w:val="24"/>
          <w:szCs w:val="24"/>
        </w:rPr>
        <w:t>2018</w:t>
      </w:r>
      <w:r>
        <w:rPr>
          <w:rFonts w:eastAsia="宋体" w:cs="Times New Roman" w:hint="eastAsia"/>
          <w:sz w:val="24"/>
          <w:szCs w:val="24"/>
        </w:rPr>
        <w:t>年已不足</w:t>
      </w:r>
      <w:r>
        <w:rPr>
          <w:rFonts w:eastAsia="宋体" w:cs="Times New Roman" w:hint="eastAsia"/>
          <w:sz w:val="24"/>
          <w:szCs w:val="24"/>
        </w:rPr>
        <w:t>18.0%</w:t>
      </w:r>
      <w:r>
        <w:rPr>
          <w:rFonts w:eastAsia="宋体" w:cs="Times New Roman"/>
          <w:sz w:val="24"/>
          <w:szCs w:val="24"/>
          <w:vertAlign w:val="superscript"/>
        </w:rPr>
        <w:t>[</w:t>
      </w:r>
      <w:r>
        <w:rPr>
          <w:rFonts w:eastAsia="宋体" w:cs="Times New Roman"/>
          <w:sz w:val="24"/>
          <w:szCs w:val="24"/>
          <w:vertAlign w:val="superscript"/>
        </w:rPr>
        <w:footnoteReference w:id="58"/>
      </w:r>
      <w:r>
        <w:rPr>
          <w:rFonts w:eastAsia="宋体" w:cs="Times New Roman"/>
          <w:sz w:val="24"/>
          <w:szCs w:val="24"/>
          <w:vertAlign w:val="superscript"/>
        </w:rPr>
        <w:t>]</w:t>
      </w:r>
      <w:r>
        <w:rPr>
          <w:rFonts w:eastAsia="宋体" w:cs="Times New Roman" w:hint="eastAsia"/>
          <w:sz w:val="24"/>
          <w:szCs w:val="24"/>
        </w:rPr>
        <w:t>。</w:t>
      </w:r>
    </w:p>
    <w:p w14:paraId="14B8DCC9"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结构性失业风险的加大不仅会加剧劳动者的生存压力，而且会对社会稳定性带来潜在隐患。如工业革命时期英国掀起的以“捣毁机器，抵制新技术”为诉求的卢德运动，根源在于机器生产逐渐排斥手工劳动使大批手工业者破产。面对数字经济发展衍生的结构性失业问题，亟需特别重视数字化失业的社会风险问题。</w:t>
      </w:r>
    </w:p>
    <w:p w14:paraId="12FAD5CD" w14:textId="77777777" w:rsidR="00602083" w:rsidRDefault="00602083">
      <w:pPr>
        <w:adjustRightInd w:val="0"/>
        <w:spacing w:line="360" w:lineRule="auto"/>
        <w:ind w:firstLine="480"/>
        <w:rPr>
          <w:rFonts w:eastAsia="宋体"/>
          <w:sz w:val="24"/>
          <w:szCs w:val="24"/>
        </w:rPr>
      </w:pPr>
    </w:p>
    <w:p w14:paraId="3BE8D797" w14:textId="77777777" w:rsidR="00602083" w:rsidRDefault="00E51994">
      <w:pPr>
        <w:widowControl/>
        <w:shd w:val="clear" w:color="auto" w:fill="FFFFFF"/>
        <w:adjustRightInd w:val="0"/>
        <w:spacing w:line="360" w:lineRule="auto"/>
        <w:ind w:firstLineChars="0" w:firstLine="0"/>
        <w:jc w:val="center"/>
        <w:rPr>
          <w:rFonts w:eastAsia="宋体" w:cs="Times New Roman"/>
          <w:sz w:val="24"/>
          <w:szCs w:val="24"/>
        </w:rPr>
      </w:pPr>
      <w:r>
        <w:rPr>
          <w:rFonts w:eastAsia="宋体" w:cs="Times New Roman" w:hint="eastAsia"/>
          <w:noProof/>
          <w:sz w:val="24"/>
          <w:szCs w:val="24"/>
        </w:rPr>
        <w:lastRenderedPageBreak/>
        <w:drawing>
          <wp:inline distT="0" distB="0" distL="114300" distR="114300" wp14:anchorId="55C8DC15" wp14:editId="15AFE600">
            <wp:extent cx="4724400" cy="2324100"/>
            <wp:effectExtent l="4445" t="4445" r="14605" b="14605"/>
            <wp:docPr id="22" name="图表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A38595" w14:textId="77777777" w:rsidR="00602083" w:rsidRDefault="00E51994">
      <w:pPr>
        <w:pStyle w:val="affc"/>
        <w:rPr>
          <w:lang w:val="zh-CN"/>
        </w:rPr>
      </w:pPr>
      <w:r>
        <w:rPr>
          <w:rFonts w:hint="eastAsia"/>
          <w:lang w:val="zh-CN"/>
        </w:rPr>
        <w:t>图</w:t>
      </w:r>
      <w:r>
        <w:rPr>
          <w:rFonts w:hint="eastAsia"/>
          <w:lang w:val="zh-CN"/>
        </w:rPr>
        <w:t>5  1978-2018</w:t>
      </w:r>
      <w:r>
        <w:rPr>
          <w:rFonts w:hint="eastAsia"/>
          <w:lang w:val="zh-CN"/>
        </w:rPr>
        <w:t>年我国各产业劳动力分布比例变化（单位：</w:t>
      </w:r>
      <w:r>
        <w:rPr>
          <w:rFonts w:hint="eastAsia"/>
          <w:lang w:val="zh-CN"/>
        </w:rPr>
        <w:t>%</w:t>
      </w:r>
      <w:r>
        <w:rPr>
          <w:rFonts w:hint="eastAsia"/>
          <w:lang w:val="zh-CN"/>
        </w:rPr>
        <w:t>）</w:t>
      </w:r>
    </w:p>
    <w:p w14:paraId="12489B25" w14:textId="77777777" w:rsidR="00602083" w:rsidRDefault="00E51994">
      <w:pPr>
        <w:pStyle w:val="afffe"/>
      </w:pPr>
      <w:r>
        <w:rPr>
          <w:rFonts w:hint="eastAsia"/>
        </w:rPr>
        <w:t>数据来源：根据相关年份国家统计年鉴数据整理。</w:t>
      </w:r>
    </w:p>
    <w:p w14:paraId="06749138" w14:textId="77777777" w:rsidR="00602083" w:rsidRDefault="00602083">
      <w:pPr>
        <w:pStyle w:val="afffc"/>
      </w:pPr>
    </w:p>
    <w:p w14:paraId="40F3BC5A" w14:textId="77777777" w:rsidR="00602083" w:rsidRDefault="00E51994">
      <w:pPr>
        <w:pStyle w:val="3"/>
        <w:spacing w:before="192" w:after="240"/>
        <w:ind w:firstLine="480"/>
      </w:pPr>
      <w:bookmarkStart w:id="86" w:name="_Toc92734363"/>
      <w:bookmarkStart w:id="87" w:name="_Toc93925275"/>
      <w:bookmarkStart w:id="88" w:name="_Toc768"/>
      <w:r>
        <w:t>（四）数字经济正在改变传统的收入分配格局</w:t>
      </w:r>
      <w:bookmarkEnd w:id="86"/>
      <w:bookmarkEnd w:id="87"/>
      <w:bookmarkEnd w:id="88"/>
    </w:p>
    <w:p w14:paraId="618DAC93" w14:textId="77777777" w:rsidR="00602083" w:rsidRDefault="00E51994">
      <w:pPr>
        <w:spacing w:line="360" w:lineRule="auto"/>
        <w:ind w:firstLine="480"/>
        <w:rPr>
          <w:rFonts w:eastAsia="宋体" w:cs="Times New Roman"/>
          <w:sz w:val="24"/>
          <w:szCs w:val="24"/>
        </w:rPr>
      </w:pPr>
      <w:r>
        <w:rPr>
          <w:rFonts w:eastAsia="宋体" w:cs="Times New Roman"/>
          <w:sz w:val="24"/>
          <w:szCs w:val="24"/>
        </w:rPr>
        <w:t>数字经济对收入分配格局的影响主要通过行业、区域和劳动技能等因素表现出来。受限于数据可得性，在</w:t>
      </w:r>
      <w:r>
        <w:rPr>
          <w:rFonts w:eastAsia="宋体" w:cs="Times New Roman"/>
          <w:sz w:val="24"/>
          <w:szCs w:val="24"/>
        </w:rPr>
        <w:t>19</w:t>
      </w:r>
      <w:r>
        <w:rPr>
          <w:rFonts w:eastAsia="宋体" w:cs="Times New Roman"/>
          <w:sz w:val="24"/>
          <w:szCs w:val="24"/>
        </w:rPr>
        <w:t>个门类行业分类基础上，利用信息传输、软件和信息技术服务业代表数字经济，农、林、牧、渔业，采矿业，制造业电力、热力、燃气及水生产和供应业等其他</w:t>
      </w:r>
      <w:r>
        <w:rPr>
          <w:rFonts w:eastAsia="宋体" w:cs="Times New Roman"/>
          <w:sz w:val="24"/>
          <w:szCs w:val="24"/>
        </w:rPr>
        <w:t>18</w:t>
      </w:r>
      <w:r>
        <w:rPr>
          <w:rFonts w:eastAsia="宋体" w:cs="Times New Roman"/>
          <w:sz w:val="24"/>
          <w:szCs w:val="24"/>
        </w:rPr>
        <w:t>个门类代表非数字经济行业。</w:t>
      </w:r>
    </w:p>
    <w:p w14:paraId="1322621D" w14:textId="77777777" w:rsidR="00602083" w:rsidRDefault="00E51994">
      <w:pPr>
        <w:pStyle w:val="4"/>
      </w:pPr>
      <w:bookmarkStart w:id="89" w:name="_Toc92734364"/>
      <w:bookmarkStart w:id="90" w:name="_Toc7996"/>
      <w:r>
        <w:t>1</w:t>
      </w:r>
      <w:r>
        <w:rPr>
          <w:rFonts w:hint="eastAsia"/>
        </w:rPr>
        <w:t>.</w:t>
      </w:r>
      <w:r>
        <w:t>数字经济全面提升劳动者工资薪酬</w:t>
      </w:r>
      <w:bookmarkEnd w:id="89"/>
      <w:bookmarkEnd w:id="90"/>
    </w:p>
    <w:p w14:paraId="291ABCCA" w14:textId="77777777" w:rsidR="00602083" w:rsidRDefault="00E51994">
      <w:pPr>
        <w:spacing w:line="360" w:lineRule="auto"/>
        <w:ind w:firstLine="480"/>
        <w:rPr>
          <w:rFonts w:eastAsia="宋体" w:cs="Times New Roman"/>
          <w:sz w:val="24"/>
          <w:szCs w:val="24"/>
        </w:rPr>
      </w:pPr>
      <w:r>
        <w:rPr>
          <w:rFonts w:eastAsia="宋体" w:cs="Times New Roman"/>
          <w:sz w:val="24"/>
          <w:szCs w:val="24"/>
        </w:rPr>
        <w:t>数字技术及经济的发展有力促进了行业资源的优化配置、生产效率的全面提升、就业供需的精准匹配，从而有力地提升了从业者劳动报酬水平。据国家统计局数据显示，</w:t>
      </w:r>
      <w:r>
        <w:rPr>
          <w:rFonts w:eastAsia="宋体" w:cs="Times New Roman"/>
          <w:sz w:val="24"/>
          <w:szCs w:val="24"/>
        </w:rPr>
        <w:t>2019</w:t>
      </w:r>
      <w:r>
        <w:rPr>
          <w:rFonts w:eastAsia="宋体" w:cs="Times New Roman"/>
          <w:sz w:val="24"/>
          <w:szCs w:val="24"/>
        </w:rPr>
        <w:t>年我国城镇单位在岗职工平均工资为</w:t>
      </w:r>
      <w:r>
        <w:rPr>
          <w:rFonts w:eastAsia="宋体" w:cs="Times New Roman"/>
          <w:sz w:val="24"/>
          <w:szCs w:val="24"/>
        </w:rPr>
        <w:t>93383</w:t>
      </w:r>
      <w:r>
        <w:rPr>
          <w:rFonts w:eastAsia="宋体" w:cs="Times New Roman"/>
          <w:sz w:val="24"/>
          <w:szCs w:val="24"/>
        </w:rPr>
        <w:t>元。数字经济代表行业信息传输、软件和信息技术服务业，电信、广播电视和卫星传输服务，互联网和相关服务行业的平均薪资分别为</w:t>
      </w:r>
      <w:r>
        <w:rPr>
          <w:rFonts w:eastAsia="宋体" w:cs="Times New Roman"/>
          <w:sz w:val="24"/>
          <w:szCs w:val="24"/>
        </w:rPr>
        <w:t>161352</w:t>
      </w:r>
      <w:r>
        <w:rPr>
          <w:rFonts w:eastAsia="宋体" w:cs="Times New Roman"/>
          <w:sz w:val="24"/>
          <w:szCs w:val="24"/>
        </w:rPr>
        <w:t>元、</w:t>
      </w:r>
      <w:r>
        <w:rPr>
          <w:rFonts w:eastAsia="宋体" w:cs="Times New Roman"/>
          <w:sz w:val="24"/>
          <w:szCs w:val="24"/>
        </w:rPr>
        <w:t>120756</w:t>
      </w:r>
      <w:r>
        <w:rPr>
          <w:rFonts w:eastAsia="宋体" w:cs="Times New Roman"/>
          <w:sz w:val="24"/>
          <w:szCs w:val="24"/>
        </w:rPr>
        <w:t>元、</w:t>
      </w:r>
      <w:r>
        <w:rPr>
          <w:rFonts w:eastAsia="宋体" w:cs="Times New Roman"/>
          <w:sz w:val="24"/>
          <w:szCs w:val="24"/>
        </w:rPr>
        <w:t>2099195</w:t>
      </w:r>
      <w:r>
        <w:rPr>
          <w:rFonts w:eastAsia="宋体" w:cs="Times New Roman"/>
          <w:sz w:val="24"/>
          <w:szCs w:val="24"/>
        </w:rPr>
        <w:t>元，相对农林牧渔业的</w:t>
      </w:r>
      <w:r>
        <w:rPr>
          <w:rFonts w:eastAsia="宋体" w:cs="Times New Roman"/>
          <w:sz w:val="24"/>
          <w:szCs w:val="24"/>
        </w:rPr>
        <w:t>39340</w:t>
      </w:r>
      <w:r>
        <w:rPr>
          <w:rFonts w:eastAsia="宋体" w:cs="Times New Roman"/>
          <w:sz w:val="24"/>
          <w:szCs w:val="24"/>
        </w:rPr>
        <w:t>元、制造业的</w:t>
      </w:r>
      <w:r>
        <w:rPr>
          <w:rFonts w:eastAsia="宋体" w:cs="Times New Roman"/>
          <w:sz w:val="24"/>
          <w:szCs w:val="24"/>
        </w:rPr>
        <w:t>78147</w:t>
      </w:r>
      <w:r>
        <w:rPr>
          <w:rFonts w:eastAsia="宋体" w:cs="Times New Roman"/>
          <w:sz w:val="24"/>
          <w:szCs w:val="24"/>
        </w:rPr>
        <w:t>元具有显著优势，也整体高于金融业、房地产业等传统高收入行业。数字经济的薪酬优势，不仅体现在技能密集型、知识密集型群体之中，如据职友集数据显示，软件开发全国平均薪资为</w:t>
      </w:r>
      <w:r>
        <w:rPr>
          <w:rFonts w:eastAsia="宋体" w:cs="Times New Roman"/>
          <w:sz w:val="24"/>
          <w:szCs w:val="24"/>
        </w:rPr>
        <w:t>12.4K/</w:t>
      </w:r>
      <w:r>
        <w:rPr>
          <w:rFonts w:eastAsia="宋体" w:cs="Times New Roman"/>
          <w:sz w:val="24"/>
          <w:szCs w:val="24"/>
        </w:rPr>
        <w:t>月，工资在</w:t>
      </w:r>
      <w:r>
        <w:rPr>
          <w:rFonts w:eastAsia="宋体" w:cs="Times New Roman"/>
          <w:sz w:val="24"/>
          <w:szCs w:val="24"/>
        </w:rPr>
        <w:t>10000-15000</w:t>
      </w:r>
      <w:r>
        <w:rPr>
          <w:rFonts w:eastAsia="宋体" w:cs="Times New Roman"/>
          <w:sz w:val="24"/>
          <w:szCs w:val="24"/>
        </w:rPr>
        <w:t>元</w:t>
      </w:r>
      <w:r>
        <w:rPr>
          <w:rFonts w:eastAsia="宋体" w:cs="Times New Roman"/>
          <w:sz w:val="24"/>
          <w:szCs w:val="24"/>
        </w:rPr>
        <w:t>/</w:t>
      </w:r>
      <w:r>
        <w:rPr>
          <w:rFonts w:eastAsia="宋体" w:cs="Times New Roman"/>
          <w:sz w:val="24"/>
          <w:szCs w:val="24"/>
        </w:rPr>
        <w:t>月的占比达到</w:t>
      </w:r>
      <w:r>
        <w:rPr>
          <w:rFonts w:eastAsia="宋体" w:cs="Times New Roman"/>
          <w:sz w:val="24"/>
          <w:szCs w:val="24"/>
        </w:rPr>
        <w:t>30.5%</w:t>
      </w:r>
      <w:r>
        <w:rPr>
          <w:rFonts w:eastAsia="宋体" w:cs="Times New Roman"/>
          <w:sz w:val="24"/>
          <w:szCs w:val="24"/>
        </w:rPr>
        <w:t>；拉勾招聘数据研究院发布的《</w:t>
      </w:r>
      <w:r>
        <w:rPr>
          <w:rFonts w:eastAsia="宋体" w:cs="Times New Roman"/>
          <w:sz w:val="24"/>
          <w:szCs w:val="24"/>
        </w:rPr>
        <w:t>2021</w:t>
      </w:r>
      <w:r>
        <w:rPr>
          <w:rFonts w:eastAsia="宋体" w:cs="Times New Roman"/>
          <w:sz w:val="24"/>
          <w:szCs w:val="24"/>
        </w:rPr>
        <w:t>人工智能人才报告》显示，</w:t>
      </w:r>
      <w:r>
        <w:rPr>
          <w:rFonts w:eastAsia="宋体" w:cs="Times New Roman"/>
          <w:sz w:val="24"/>
          <w:szCs w:val="24"/>
        </w:rPr>
        <w:t>2021</w:t>
      </w:r>
      <w:r>
        <w:rPr>
          <w:rFonts w:eastAsia="宋体" w:cs="Times New Roman"/>
          <w:sz w:val="24"/>
          <w:szCs w:val="24"/>
        </w:rPr>
        <w:t>年人工智能行业人才需求指数较去年增长</w:t>
      </w:r>
      <w:r>
        <w:rPr>
          <w:rFonts w:eastAsia="宋体" w:cs="Times New Roman"/>
          <w:sz w:val="24"/>
          <w:szCs w:val="24"/>
        </w:rPr>
        <w:t>103%</w:t>
      </w:r>
      <w:r>
        <w:rPr>
          <w:rFonts w:eastAsia="宋体" w:cs="Times New Roman"/>
          <w:sz w:val="24"/>
          <w:szCs w:val="24"/>
        </w:rPr>
        <w:t>，平均月薪酬为</w:t>
      </w:r>
      <w:r>
        <w:rPr>
          <w:rFonts w:eastAsia="宋体" w:cs="Times New Roman"/>
          <w:sz w:val="24"/>
          <w:szCs w:val="24"/>
        </w:rPr>
        <w:t>20000</w:t>
      </w:r>
      <w:r>
        <w:rPr>
          <w:rFonts w:eastAsia="宋体" w:cs="Times New Roman"/>
          <w:sz w:val="24"/>
          <w:szCs w:val="24"/>
        </w:rPr>
        <w:t>元，较去年增长</w:t>
      </w:r>
      <w:r>
        <w:rPr>
          <w:rFonts w:eastAsia="宋体" w:cs="Times New Roman"/>
          <w:sz w:val="24"/>
          <w:szCs w:val="24"/>
        </w:rPr>
        <w:t>12.4%</w:t>
      </w:r>
      <w:r>
        <w:rPr>
          <w:rFonts w:eastAsia="宋体" w:cs="Times New Roman"/>
          <w:sz w:val="24"/>
          <w:szCs w:val="24"/>
        </w:rPr>
        <w:t>；其薪酬优势也体现在门槛较低的包容型岗位之上，据美团数据显示，</w:t>
      </w:r>
      <w:bookmarkStart w:id="91" w:name="_Hlk92732517"/>
      <w:r>
        <w:rPr>
          <w:rFonts w:eastAsia="宋体" w:cs="Times New Roman"/>
          <w:sz w:val="24"/>
          <w:szCs w:val="24"/>
        </w:rPr>
        <w:t>平台骑</w:t>
      </w:r>
      <w:r>
        <w:rPr>
          <w:rFonts w:eastAsia="宋体" w:cs="Times New Roman"/>
          <w:sz w:val="24"/>
          <w:szCs w:val="24"/>
        </w:rPr>
        <w:lastRenderedPageBreak/>
        <w:t>手五成月入</w:t>
      </w:r>
      <w:r>
        <w:rPr>
          <w:rFonts w:eastAsia="宋体" w:cs="Times New Roman"/>
          <w:sz w:val="24"/>
          <w:szCs w:val="24"/>
        </w:rPr>
        <w:t>4000-8000</w:t>
      </w:r>
      <w:r>
        <w:rPr>
          <w:rFonts w:eastAsia="宋体" w:cs="Times New Roman"/>
          <w:sz w:val="24"/>
          <w:szCs w:val="24"/>
        </w:rPr>
        <w:t>元、近一成骑手月入过万</w:t>
      </w:r>
      <w:bookmarkEnd w:id="91"/>
      <w:r>
        <w:rPr>
          <w:rFonts w:eastAsia="宋体" w:cs="Times New Roman"/>
          <w:sz w:val="24"/>
          <w:szCs w:val="24"/>
          <w:vertAlign w:val="superscript"/>
        </w:rPr>
        <w:t>[</w:t>
      </w:r>
      <w:r>
        <w:rPr>
          <w:rFonts w:eastAsia="宋体" w:cs="Times New Roman"/>
          <w:sz w:val="24"/>
          <w:szCs w:val="24"/>
          <w:vertAlign w:val="superscript"/>
        </w:rPr>
        <w:footnoteReference w:id="59"/>
      </w:r>
      <w:r>
        <w:rPr>
          <w:rFonts w:eastAsia="宋体" w:cs="Times New Roman"/>
          <w:sz w:val="24"/>
          <w:szCs w:val="24"/>
          <w:vertAlign w:val="superscript"/>
        </w:rPr>
        <w:t>]</w:t>
      </w:r>
      <w:r>
        <w:rPr>
          <w:rFonts w:eastAsia="宋体" w:cs="Times New Roman"/>
          <w:sz w:val="24"/>
          <w:szCs w:val="24"/>
        </w:rPr>
        <w:t>。</w:t>
      </w:r>
    </w:p>
    <w:p w14:paraId="01C96B73" w14:textId="77777777" w:rsidR="00602083" w:rsidRDefault="00E51994">
      <w:pPr>
        <w:pStyle w:val="affd"/>
      </w:pPr>
      <w:r>
        <w:rPr>
          <w:noProof/>
        </w:rPr>
        <w:drawing>
          <wp:inline distT="0" distB="0" distL="114300" distR="114300" wp14:anchorId="181755B6" wp14:editId="523FD413">
            <wp:extent cx="4572000" cy="2743200"/>
            <wp:effectExtent l="4445" t="4445" r="14605" b="14605"/>
            <wp:docPr id="23" name="图表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2BDAFE" w14:textId="77777777" w:rsidR="00602083" w:rsidRDefault="00E51994">
      <w:pPr>
        <w:pStyle w:val="affc"/>
        <w:rPr>
          <w:lang w:val="zh-CN"/>
        </w:rPr>
      </w:pPr>
      <w:r>
        <w:rPr>
          <w:lang w:val="zh-CN"/>
        </w:rPr>
        <w:t>图</w:t>
      </w:r>
      <w:r>
        <w:rPr>
          <w:rFonts w:hint="eastAsia"/>
          <w:lang w:val="zh-CN"/>
        </w:rPr>
        <w:t xml:space="preserve">6 </w:t>
      </w:r>
      <w:r>
        <w:rPr>
          <w:lang w:val="zh-CN"/>
        </w:rPr>
        <w:t xml:space="preserve"> </w:t>
      </w:r>
      <w:r>
        <w:rPr>
          <w:lang w:val="zh-CN"/>
        </w:rPr>
        <w:t>数字经济代表行业与其他行业收入情况</w:t>
      </w:r>
    </w:p>
    <w:p w14:paraId="587D0F4D" w14:textId="77777777" w:rsidR="00602083" w:rsidRDefault="00E51994">
      <w:pPr>
        <w:pStyle w:val="afffe"/>
      </w:pPr>
      <w:r>
        <w:rPr>
          <w:rFonts w:hint="eastAsia"/>
        </w:rPr>
        <w:t>数据来源：国家统计局公开数据</w:t>
      </w:r>
    </w:p>
    <w:p w14:paraId="50C0E353" w14:textId="77777777" w:rsidR="00602083" w:rsidRDefault="00E51994">
      <w:pPr>
        <w:pStyle w:val="4"/>
      </w:pPr>
      <w:bookmarkStart w:id="92" w:name="_Toc31132"/>
      <w:bookmarkStart w:id="93" w:name="_Toc92734365"/>
      <w:r>
        <w:t>2</w:t>
      </w:r>
      <w:r>
        <w:rPr>
          <w:rFonts w:hint="eastAsia"/>
        </w:rPr>
        <w:t>.</w:t>
      </w:r>
      <w:r>
        <w:t>数字经济对不同市场主体的收入分配</w:t>
      </w:r>
      <w:r>
        <w:rPr>
          <w:rFonts w:hint="eastAsia"/>
        </w:rPr>
        <w:t>产生</w:t>
      </w:r>
      <w:r>
        <w:t>影响</w:t>
      </w:r>
      <w:bookmarkEnd w:id="92"/>
      <w:bookmarkEnd w:id="93"/>
    </w:p>
    <w:p w14:paraId="12DDC5A4" w14:textId="77777777" w:rsidR="00602083" w:rsidRDefault="00E51994">
      <w:pPr>
        <w:spacing w:line="360" w:lineRule="auto"/>
        <w:ind w:firstLine="480"/>
        <w:rPr>
          <w:rFonts w:eastAsia="宋体" w:cs="Times New Roman"/>
          <w:sz w:val="24"/>
          <w:szCs w:val="24"/>
        </w:rPr>
      </w:pPr>
      <w:r>
        <w:rPr>
          <w:rFonts w:eastAsia="宋体" w:cs="Times New Roman"/>
          <w:sz w:val="24"/>
          <w:szCs w:val="24"/>
        </w:rPr>
        <w:t>根据国家统计局公布的数据，</w:t>
      </w:r>
      <w:r>
        <w:rPr>
          <w:rFonts w:eastAsia="宋体" w:cs="Times New Roman"/>
          <w:sz w:val="24"/>
          <w:szCs w:val="24"/>
        </w:rPr>
        <w:t>2020</w:t>
      </w:r>
      <w:r>
        <w:rPr>
          <w:rFonts w:eastAsia="宋体" w:cs="Times New Roman"/>
          <w:sz w:val="24"/>
          <w:szCs w:val="24"/>
        </w:rPr>
        <w:t>年过收入最高的行业为信息传输、软件和信息技术服务业，也就是我们选取的数字经济的行业。为此，我们对</w:t>
      </w:r>
      <w:r>
        <w:rPr>
          <w:rFonts w:eastAsia="宋体" w:cs="Times New Roman"/>
          <w:sz w:val="24"/>
          <w:szCs w:val="24"/>
        </w:rPr>
        <w:t>2015</w:t>
      </w:r>
      <w:r>
        <w:rPr>
          <w:rFonts w:eastAsia="宋体" w:cs="Times New Roman"/>
          <w:sz w:val="24"/>
          <w:szCs w:val="24"/>
        </w:rPr>
        <w:t>年到</w:t>
      </w:r>
      <w:r>
        <w:rPr>
          <w:rFonts w:eastAsia="宋体" w:cs="Times New Roman"/>
          <w:sz w:val="24"/>
          <w:szCs w:val="24"/>
        </w:rPr>
        <w:t>2019</w:t>
      </w:r>
      <w:r>
        <w:rPr>
          <w:rFonts w:eastAsia="宋体" w:cs="Times New Roman"/>
          <w:sz w:val="24"/>
          <w:szCs w:val="24"/>
        </w:rPr>
        <w:t>年非私营部门的行业间收入差异进行了分析。</w:t>
      </w:r>
    </w:p>
    <w:p w14:paraId="60F3D9ED" w14:textId="77777777" w:rsidR="00602083" w:rsidRDefault="00E51994">
      <w:pPr>
        <w:spacing w:line="360" w:lineRule="auto"/>
        <w:ind w:firstLine="480"/>
        <w:rPr>
          <w:rFonts w:eastAsia="宋体" w:cs="Times New Roman"/>
          <w:sz w:val="24"/>
          <w:szCs w:val="24"/>
        </w:rPr>
      </w:pPr>
      <w:r>
        <w:rPr>
          <w:rFonts w:eastAsia="宋体" w:cs="Times New Roman"/>
          <w:sz w:val="24"/>
          <w:szCs w:val="24"/>
        </w:rPr>
        <w:t>从</w:t>
      </w:r>
      <w:r>
        <w:rPr>
          <w:rFonts w:eastAsia="宋体" w:cs="Times New Roman"/>
          <w:sz w:val="24"/>
          <w:szCs w:val="24"/>
        </w:rPr>
        <w:t>2015</w:t>
      </w:r>
      <w:r>
        <w:rPr>
          <w:rFonts w:eastAsia="宋体" w:cs="Times New Roman"/>
          <w:sz w:val="24"/>
          <w:szCs w:val="24"/>
        </w:rPr>
        <w:t>年到</w:t>
      </w:r>
      <w:r>
        <w:rPr>
          <w:rFonts w:eastAsia="宋体" w:cs="Times New Roman"/>
          <w:sz w:val="24"/>
          <w:szCs w:val="24"/>
        </w:rPr>
        <w:t>2019</w:t>
      </w:r>
      <w:r>
        <w:rPr>
          <w:rFonts w:eastAsia="宋体" w:cs="Times New Roman"/>
          <w:sz w:val="24"/>
          <w:szCs w:val="24"/>
        </w:rPr>
        <w:t>年的数据来看，数字经济产业的人均收入依次为</w:t>
      </w:r>
      <w:r>
        <w:rPr>
          <w:rFonts w:eastAsia="宋体" w:cs="Times New Roman"/>
          <w:sz w:val="24"/>
          <w:szCs w:val="24"/>
        </w:rPr>
        <w:t>11.20</w:t>
      </w:r>
      <w:r>
        <w:rPr>
          <w:rFonts w:eastAsia="宋体" w:cs="Times New Roman"/>
          <w:sz w:val="24"/>
          <w:szCs w:val="24"/>
        </w:rPr>
        <w:t>万元、</w:t>
      </w:r>
      <w:r>
        <w:rPr>
          <w:rFonts w:eastAsia="宋体" w:cs="Times New Roman"/>
          <w:sz w:val="24"/>
          <w:szCs w:val="24"/>
        </w:rPr>
        <w:t>12.24</w:t>
      </w:r>
      <w:r>
        <w:rPr>
          <w:rFonts w:eastAsia="宋体" w:cs="Times New Roman"/>
          <w:sz w:val="24"/>
          <w:szCs w:val="24"/>
        </w:rPr>
        <w:t>万元、</w:t>
      </w:r>
      <w:r>
        <w:rPr>
          <w:rFonts w:eastAsia="宋体" w:cs="Times New Roman"/>
          <w:sz w:val="24"/>
          <w:szCs w:val="24"/>
        </w:rPr>
        <w:t>13.32</w:t>
      </w:r>
      <w:r>
        <w:rPr>
          <w:rFonts w:eastAsia="宋体" w:cs="Times New Roman"/>
          <w:sz w:val="24"/>
          <w:szCs w:val="24"/>
        </w:rPr>
        <w:t>万元、</w:t>
      </w:r>
      <w:r>
        <w:rPr>
          <w:rFonts w:eastAsia="宋体" w:cs="Times New Roman"/>
          <w:sz w:val="24"/>
          <w:szCs w:val="24"/>
        </w:rPr>
        <w:t>1.81</w:t>
      </w:r>
      <w:r>
        <w:rPr>
          <w:rFonts w:eastAsia="宋体" w:cs="Times New Roman"/>
          <w:sz w:val="24"/>
          <w:szCs w:val="24"/>
        </w:rPr>
        <w:t>万元以及</w:t>
      </w:r>
      <w:r>
        <w:rPr>
          <w:rFonts w:eastAsia="宋体" w:cs="Times New Roman"/>
          <w:sz w:val="24"/>
          <w:szCs w:val="24"/>
        </w:rPr>
        <w:t>1.84</w:t>
      </w:r>
      <w:r>
        <w:rPr>
          <w:rFonts w:eastAsia="宋体" w:cs="Times New Roman"/>
          <w:sz w:val="24"/>
          <w:szCs w:val="24"/>
        </w:rPr>
        <w:t>万元，年均增长速度达到</w:t>
      </w:r>
      <w:r>
        <w:rPr>
          <w:rFonts w:eastAsia="宋体" w:cs="Times New Roman"/>
          <w:sz w:val="24"/>
          <w:szCs w:val="24"/>
        </w:rPr>
        <w:t>9.54%</w:t>
      </w:r>
      <w:r>
        <w:rPr>
          <w:rFonts w:eastAsia="宋体" w:cs="Times New Roman"/>
          <w:sz w:val="24"/>
          <w:szCs w:val="24"/>
        </w:rPr>
        <w:t>。非数字经济产业的人均收入依次为</w:t>
      </w:r>
      <w:r>
        <w:rPr>
          <w:rFonts w:eastAsia="宋体" w:cs="Times New Roman"/>
          <w:sz w:val="24"/>
          <w:szCs w:val="24"/>
        </w:rPr>
        <w:t>6.35</w:t>
      </w:r>
      <w:r>
        <w:rPr>
          <w:rFonts w:eastAsia="宋体" w:cs="Times New Roman"/>
          <w:sz w:val="24"/>
          <w:szCs w:val="24"/>
        </w:rPr>
        <w:t>万元、</w:t>
      </w:r>
      <w:r>
        <w:rPr>
          <w:rFonts w:eastAsia="宋体" w:cs="Times New Roman"/>
          <w:sz w:val="24"/>
          <w:szCs w:val="24"/>
        </w:rPr>
        <w:t>6.83</w:t>
      </w:r>
      <w:r>
        <w:rPr>
          <w:rFonts w:eastAsia="宋体" w:cs="Times New Roman"/>
          <w:sz w:val="24"/>
          <w:szCs w:val="24"/>
        </w:rPr>
        <w:t>万元、</w:t>
      </w:r>
      <w:r>
        <w:rPr>
          <w:rFonts w:eastAsia="宋体" w:cs="Times New Roman"/>
          <w:sz w:val="24"/>
          <w:szCs w:val="24"/>
        </w:rPr>
        <w:t>7.44</w:t>
      </w:r>
      <w:r>
        <w:rPr>
          <w:rFonts w:eastAsia="宋体" w:cs="Times New Roman"/>
          <w:sz w:val="24"/>
          <w:szCs w:val="24"/>
        </w:rPr>
        <w:t>万元、</w:t>
      </w:r>
      <w:r>
        <w:rPr>
          <w:rFonts w:eastAsia="宋体" w:cs="Times New Roman"/>
          <w:sz w:val="24"/>
          <w:szCs w:val="24"/>
        </w:rPr>
        <w:t>8.17</w:t>
      </w:r>
      <w:r>
        <w:rPr>
          <w:rFonts w:eastAsia="宋体" w:cs="Times New Roman"/>
          <w:sz w:val="24"/>
          <w:szCs w:val="24"/>
        </w:rPr>
        <w:t>万元、</w:t>
      </w:r>
      <w:r>
        <w:rPr>
          <w:rFonts w:eastAsia="宋体" w:cs="Times New Roman"/>
          <w:sz w:val="24"/>
          <w:szCs w:val="24"/>
        </w:rPr>
        <w:t>8.79</w:t>
      </w:r>
      <w:r>
        <w:rPr>
          <w:rFonts w:eastAsia="宋体" w:cs="Times New Roman"/>
          <w:sz w:val="24"/>
          <w:szCs w:val="24"/>
        </w:rPr>
        <w:t>万元，平均年增长速度为</w:t>
      </w:r>
      <w:r>
        <w:rPr>
          <w:rFonts w:eastAsia="宋体" w:cs="Times New Roman"/>
          <w:sz w:val="24"/>
          <w:szCs w:val="24"/>
        </w:rPr>
        <w:t>8.45%</w:t>
      </w:r>
      <w:r>
        <w:rPr>
          <w:rFonts w:eastAsia="宋体" w:cs="Times New Roman"/>
          <w:sz w:val="24"/>
          <w:szCs w:val="24"/>
        </w:rPr>
        <w:t>。可见，数字经济与非数字经济相比，不仅存在绝对值的差距，而且存在差距日益扩大的趋势。以数字经济平均收入</w:t>
      </w:r>
      <w:r>
        <w:rPr>
          <w:rFonts w:eastAsia="宋体" w:cs="Times New Roman"/>
          <w:sz w:val="24"/>
          <w:szCs w:val="24"/>
        </w:rPr>
        <w:t>/</w:t>
      </w:r>
      <w:r>
        <w:rPr>
          <w:rFonts w:eastAsia="宋体" w:cs="Times New Roman"/>
          <w:sz w:val="24"/>
          <w:szCs w:val="24"/>
        </w:rPr>
        <w:t>非数字经济平均收入水平衡量二者差距，五个观测年份依次为</w:t>
      </w:r>
      <w:r>
        <w:rPr>
          <w:rFonts w:eastAsia="宋体" w:cs="Times New Roman"/>
          <w:sz w:val="24"/>
          <w:szCs w:val="24"/>
        </w:rPr>
        <w:t>1.76</w:t>
      </w:r>
      <w:r>
        <w:rPr>
          <w:rFonts w:eastAsia="宋体" w:cs="Times New Roman"/>
          <w:sz w:val="24"/>
          <w:szCs w:val="24"/>
        </w:rPr>
        <w:t>、</w:t>
      </w:r>
      <w:r>
        <w:rPr>
          <w:rFonts w:eastAsia="宋体" w:cs="Times New Roman"/>
          <w:sz w:val="24"/>
          <w:szCs w:val="24"/>
        </w:rPr>
        <w:t>1.79</w:t>
      </w:r>
      <w:r>
        <w:rPr>
          <w:rFonts w:eastAsia="宋体" w:cs="Times New Roman"/>
          <w:sz w:val="24"/>
          <w:szCs w:val="24"/>
        </w:rPr>
        <w:t>、</w:t>
      </w:r>
      <w:r>
        <w:rPr>
          <w:rFonts w:eastAsia="宋体" w:cs="Times New Roman"/>
          <w:sz w:val="24"/>
          <w:szCs w:val="24"/>
        </w:rPr>
        <w:t>1.79</w:t>
      </w:r>
      <w:r>
        <w:rPr>
          <w:rFonts w:eastAsia="宋体" w:cs="Times New Roman"/>
          <w:sz w:val="24"/>
          <w:szCs w:val="24"/>
        </w:rPr>
        <w:t>、</w:t>
      </w:r>
      <w:r>
        <w:rPr>
          <w:rFonts w:eastAsia="宋体" w:cs="Times New Roman"/>
          <w:sz w:val="24"/>
          <w:szCs w:val="24"/>
        </w:rPr>
        <w:t>1.81</w:t>
      </w:r>
      <w:r>
        <w:rPr>
          <w:rFonts w:eastAsia="宋体" w:cs="Times New Roman"/>
          <w:sz w:val="24"/>
          <w:szCs w:val="24"/>
        </w:rPr>
        <w:t>和</w:t>
      </w:r>
      <w:r>
        <w:rPr>
          <w:rFonts w:eastAsia="宋体" w:cs="Times New Roman"/>
          <w:sz w:val="24"/>
          <w:szCs w:val="24"/>
        </w:rPr>
        <w:t>1.84</w:t>
      </w:r>
      <w:r>
        <w:rPr>
          <w:rFonts w:eastAsia="宋体" w:cs="Times New Roman"/>
          <w:sz w:val="24"/>
          <w:szCs w:val="24"/>
        </w:rPr>
        <w:t>。图</w:t>
      </w:r>
      <w:r>
        <w:rPr>
          <w:rFonts w:eastAsia="宋体" w:cs="Times New Roman"/>
          <w:sz w:val="24"/>
          <w:szCs w:val="24"/>
        </w:rPr>
        <w:t>1</w:t>
      </w:r>
      <w:r>
        <w:rPr>
          <w:rFonts w:eastAsia="宋体" w:cs="Times New Roman"/>
          <w:sz w:val="24"/>
          <w:szCs w:val="24"/>
        </w:rPr>
        <w:t>反映了数字经济与非数字经济行业的变动趋势。</w:t>
      </w:r>
    </w:p>
    <w:p w14:paraId="05FC3F87" w14:textId="77777777" w:rsidR="00602083" w:rsidRDefault="00602083">
      <w:pPr>
        <w:spacing w:line="360" w:lineRule="auto"/>
        <w:ind w:firstLine="480"/>
        <w:rPr>
          <w:rFonts w:eastAsia="宋体" w:cs="Times New Roman"/>
          <w:sz w:val="24"/>
          <w:szCs w:val="24"/>
        </w:rPr>
      </w:pPr>
    </w:p>
    <w:p w14:paraId="391DDD22" w14:textId="77777777" w:rsidR="00602083" w:rsidRDefault="00E51994">
      <w:pPr>
        <w:pStyle w:val="affd"/>
      </w:pPr>
      <w:r>
        <w:rPr>
          <w:rFonts w:hint="eastAsia"/>
          <w:noProof/>
        </w:rPr>
        <w:lastRenderedPageBreak/>
        <w:drawing>
          <wp:inline distT="0" distB="0" distL="114300" distR="114300" wp14:anchorId="75B7B624" wp14:editId="23D369BB">
            <wp:extent cx="4572000" cy="1847850"/>
            <wp:effectExtent l="4445" t="4445" r="14605" b="14605"/>
            <wp:docPr id="24" name="图表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B938F1" w14:textId="77777777" w:rsidR="00602083" w:rsidRDefault="00E51994">
      <w:pPr>
        <w:pStyle w:val="affc"/>
        <w:rPr>
          <w:lang w:val="zh-CN"/>
        </w:rPr>
      </w:pPr>
      <w:r>
        <w:rPr>
          <w:rFonts w:hint="eastAsia"/>
          <w:lang w:val="zh-CN"/>
        </w:rPr>
        <w:t>图</w:t>
      </w:r>
      <w:r>
        <w:rPr>
          <w:rFonts w:hint="eastAsia"/>
        </w:rPr>
        <w:t>7</w:t>
      </w:r>
      <w:r>
        <w:rPr>
          <w:rFonts w:hint="eastAsia"/>
          <w:lang w:val="zh-CN"/>
        </w:rPr>
        <w:t xml:space="preserve"> </w:t>
      </w:r>
      <w:r>
        <w:rPr>
          <w:lang w:val="zh-CN"/>
        </w:rPr>
        <w:t xml:space="preserve"> </w:t>
      </w:r>
      <w:r>
        <w:rPr>
          <w:rFonts w:hint="eastAsia"/>
          <w:lang w:val="zh-CN"/>
        </w:rPr>
        <w:t>全国非私营单位非数字经济与数字经济收入水平趋势分析</w:t>
      </w:r>
    </w:p>
    <w:p w14:paraId="61CA5C5A" w14:textId="77777777" w:rsidR="00602083" w:rsidRDefault="00E51994">
      <w:pPr>
        <w:pStyle w:val="afffe"/>
      </w:pPr>
      <w:r>
        <w:rPr>
          <w:rFonts w:hint="eastAsia"/>
        </w:rPr>
        <w:t>数据来源：相关年份《中国人口和就业统计年鉴》。</w:t>
      </w:r>
    </w:p>
    <w:p w14:paraId="2B45CAA1" w14:textId="77777777" w:rsidR="00602083" w:rsidRDefault="00E51994">
      <w:pPr>
        <w:pStyle w:val="2"/>
        <w:ind w:firstLine="480"/>
        <w:rPr>
          <w:b/>
        </w:rPr>
      </w:pPr>
      <w:bookmarkStart w:id="94" w:name="_Toc26829"/>
      <w:bookmarkStart w:id="95" w:name="_Toc92734366"/>
      <w:bookmarkStart w:id="96" w:name="_Toc93925276"/>
      <w:bookmarkStart w:id="97" w:name="_Toc93841283"/>
      <w:bookmarkStart w:id="98" w:name="_Toc2388"/>
      <w:r>
        <w:rPr>
          <w:rFonts w:hint="eastAsia"/>
        </w:rPr>
        <w:t>四、</w:t>
      </w:r>
      <w:r>
        <w:t>数字经济</w:t>
      </w:r>
      <w:r>
        <w:rPr>
          <w:rFonts w:hint="eastAsia"/>
        </w:rPr>
        <w:t>促进</w:t>
      </w:r>
      <w:r>
        <w:t>就业与</w:t>
      </w:r>
      <w:r>
        <w:rPr>
          <w:rFonts w:hint="eastAsia"/>
        </w:rPr>
        <w:t>优化</w:t>
      </w:r>
      <w:r>
        <w:t>分配面临的</w:t>
      </w:r>
      <w:r>
        <w:rPr>
          <w:rFonts w:hint="eastAsia"/>
        </w:rPr>
        <w:t>问题</w:t>
      </w:r>
      <w:r>
        <w:t>挑战</w:t>
      </w:r>
      <w:bookmarkEnd w:id="94"/>
      <w:bookmarkEnd w:id="95"/>
      <w:bookmarkEnd w:id="96"/>
      <w:bookmarkEnd w:id="97"/>
      <w:bookmarkEnd w:id="98"/>
    </w:p>
    <w:p w14:paraId="2F7B457A" w14:textId="77777777" w:rsidR="00602083" w:rsidRDefault="00E51994">
      <w:pPr>
        <w:pStyle w:val="3"/>
        <w:spacing w:before="192" w:after="240"/>
        <w:ind w:firstLine="480"/>
      </w:pPr>
      <w:bookmarkStart w:id="99" w:name="_Toc19119"/>
      <w:bookmarkStart w:id="100" w:name="_Toc92734367"/>
      <w:bookmarkStart w:id="101" w:name="_Toc28634"/>
      <w:bookmarkStart w:id="102" w:name="_Toc93925277"/>
      <w:r>
        <w:t>（一）</w:t>
      </w:r>
      <w:bookmarkStart w:id="103" w:name="_Hlk92732647"/>
      <w:r>
        <w:t>数字经济时代劳动制度创新</w:t>
      </w:r>
      <w:r>
        <w:rPr>
          <w:rFonts w:hint="eastAsia"/>
        </w:rPr>
        <w:t>完善</w:t>
      </w:r>
      <w:r>
        <w:t>亟待推进</w:t>
      </w:r>
      <w:bookmarkEnd w:id="99"/>
      <w:bookmarkEnd w:id="100"/>
      <w:bookmarkEnd w:id="101"/>
      <w:bookmarkEnd w:id="102"/>
      <w:bookmarkEnd w:id="103"/>
    </w:p>
    <w:p w14:paraId="27251BA2" w14:textId="77777777" w:rsidR="00602083" w:rsidRDefault="00E51994">
      <w:pPr>
        <w:spacing w:line="360" w:lineRule="auto"/>
        <w:ind w:firstLine="480"/>
        <w:rPr>
          <w:rFonts w:eastAsia="宋体" w:cs="Times New Roman"/>
          <w:sz w:val="24"/>
          <w:szCs w:val="24"/>
        </w:rPr>
      </w:pPr>
      <w:r>
        <w:rPr>
          <w:rFonts w:eastAsia="宋体" w:cs="Times New Roman"/>
          <w:sz w:val="24"/>
          <w:szCs w:val="24"/>
        </w:rPr>
        <w:t>现有劳动法是基于工业经济的大生产背景下制定，在数字经济新时代中表现出了明显的不适应性。一方面，劳动关系与劳务关系的二元分割，使得区别于传统雇佣形式、不构成劳动关系的灵活就业群体，被排斥在劳动法和社会保险法保护之外。另一方面，若是要求企业完全比照劳动关系，给予灵活从业群体相应保障，则会给平台企业带来不合理的沉重压力。特别是缴纳各种社会保险费用的义务，由于平台灵活从业群体规模庞大，即使按照最低缴费比例进行计算，也会形成一笔</w:t>
      </w:r>
      <w:r>
        <w:rPr>
          <w:rFonts w:eastAsia="宋体" w:cs="Times New Roman" w:hint="eastAsia"/>
          <w:sz w:val="24"/>
          <w:szCs w:val="24"/>
        </w:rPr>
        <w:t>“</w:t>
      </w:r>
      <w:r>
        <w:rPr>
          <w:rFonts w:eastAsia="宋体" w:cs="Times New Roman"/>
          <w:sz w:val="24"/>
          <w:szCs w:val="24"/>
        </w:rPr>
        <w:t>天文数字</w:t>
      </w:r>
      <w:r>
        <w:rPr>
          <w:rFonts w:eastAsia="宋体" w:cs="Times New Roman" w:hint="eastAsia"/>
          <w:sz w:val="24"/>
          <w:szCs w:val="24"/>
        </w:rPr>
        <w:t>”</w:t>
      </w:r>
      <w:r>
        <w:rPr>
          <w:rFonts w:eastAsia="宋体" w:cs="Times New Roman"/>
          <w:sz w:val="24"/>
          <w:szCs w:val="24"/>
        </w:rPr>
        <w:t>，为企业带来巨大的财务压力。除了经济性考量之外，在正当性层面也有商榷之处，以工伤保险为例，由于劳动者工作时间、工作场所的灵活性特征，工伤保险的主体责任、保障范围边界难以判断，工伤认定将会面临种种障碍。强行适用劳动关系为平台企业带来的负担必将拖累平台经济的发展，这会反过来限制平台用工的积极性，导致缩招、减薪、裁员等情况，向社会输出失业压力。因此亟需加快推进制度创新，在保障劳动者权益、促进新业态发展、扩大就业规模三项重要公共利益之间取得平衡。</w:t>
      </w:r>
    </w:p>
    <w:tbl>
      <w:tblPr>
        <w:tblStyle w:val="afe"/>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522"/>
      </w:tblGrid>
      <w:tr w:rsidR="00602083" w14:paraId="4DCE5D57" w14:textId="77777777">
        <w:trPr>
          <w:jc w:val="center"/>
        </w:trPr>
        <w:tc>
          <w:tcPr>
            <w:tcW w:w="8522" w:type="dxa"/>
          </w:tcPr>
          <w:p w14:paraId="55A1E62C" w14:textId="77777777" w:rsidR="00602083" w:rsidRDefault="00E51994">
            <w:pPr>
              <w:adjustRightInd w:val="0"/>
              <w:spacing w:line="360" w:lineRule="auto"/>
              <w:ind w:firstLineChars="0" w:firstLine="0"/>
              <w:jc w:val="center"/>
              <w:rPr>
                <w:rFonts w:eastAsia="宋体" w:cs="方正楷体_GBK"/>
                <w:sz w:val="24"/>
                <w:szCs w:val="24"/>
              </w:rPr>
            </w:pPr>
            <w:r>
              <w:rPr>
                <w:rFonts w:eastAsia="宋体" w:cs="方正楷体_GBK" w:hint="eastAsia"/>
                <w:sz w:val="24"/>
                <w:szCs w:val="24"/>
              </w:rPr>
              <w:t>专栏</w:t>
            </w:r>
            <w:r>
              <w:rPr>
                <w:rFonts w:eastAsia="宋体" w:cs="方正楷体_GBK" w:hint="eastAsia"/>
                <w:sz w:val="24"/>
                <w:szCs w:val="24"/>
              </w:rPr>
              <w:t xml:space="preserve">1  </w:t>
            </w:r>
            <w:r>
              <w:rPr>
                <w:rFonts w:eastAsia="宋体" w:cs="方正楷体_GBK" w:hint="eastAsia"/>
                <w:sz w:val="24"/>
                <w:szCs w:val="24"/>
              </w:rPr>
              <w:t>世界各国新就业从业人员法律创新</w:t>
            </w:r>
          </w:p>
          <w:p w14:paraId="3F081B66" w14:textId="77777777" w:rsidR="00602083" w:rsidRDefault="00E51994">
            <w:pPr>
              <w:adjustRightInd w:val="0"/>
              <w:spacing w:line="360" w:lineRule="auto"/>
              <w:ind w:firstLine="480"/>
              <w:rPr>
                <w:rFonts w:eastAsia="宋体" w:cs="方正楷体_GBK"/>
                <w:sz w:val="24"/>
                <w:szCs w:val="24"/>
              </w:rPr>
            </w:pPr>
            <w:r>
              <w:rPr>
                <w:rFonts w:eastAsia="宋体" w:cs="方正楷体_GBK" w:hint="eastAsia"/>
                <w:sz w:val="24"/>
                <w:szCs w:val="24"/>
              </w:rPr>
              <w:t>面对平台经济为各国劳动力市场带来的巨大挑战，美国、英国等多个国家纷纷进行立法创新，探索建立新就业从业人员的保障体系。总的来看，主要有两种模式：</w:t>
            </w:r>
          </w:p>
          <w:p w14:paraId="350FE3BC" w14:textId="77777777" w:rsidR="00602083" w:rsidRDefault="00E51994">
            <w:pPr>
              <w:numPr>
                <w:ilvl w:val="255"/>
                <w:numId w:val="0"/>
              </w:numPr>
              <w:adjustRightInd w:val="0"/>
              <w:spacing w:line="360" w:lineRule="auto"/>
              <w:ind w:firstLineChars="200" w:firstLine="480"/>
              <w:rPr>
                <w:rFonts w:eastAsia="宋体" w:cs="方正楷体_GBK"/>
                <w:sz w:val="24"/>
                <w:szCs w:val="24"/>
              </w:rPr>
            </w:pPr>
            <w:r>
              <w:rPr>
                <w:rFonts w:eastAsia="宋体" w:cs="方正楷体_GBK" w:hint="eastAsia"/>
                <w:sz w:val="24"/>
                <w:szCs w:val="24"/>
              </w:rPr>
              <w:t>一是丰富劳动关系认定标准。如</w:t>
            </w:r>
            <w:r>
              <w:rPr>
                <w:rFonts w:eastAsia="宋体" w:cs="方正楷体_GBK" w:hint="eastAsia"/>
                <w:sz w:val="24"/>
                <w:szCs w:val="24"/>
              </w:rPr>
              <w:t>2019</w:t>
            </w:r>
            <w:r>
              <w:rPr>
                <w:rFonts w:eastAsia="宋体" w:cs="方正楷体_GBK" w:hint="eastAsia"/>
                <w:sz w:val="24"/>
                <w:szCs w:val="24"/>
              </w:rPr>
              <w:t>年</w:t>
            </w:r>
            <w:r>
              <w:rPr>
                <w:rFonts w:eastAsia="宋体" w:cs="方正楷体_GBK" w:hint="eastAsia"/>
                <w:sz w:val="24"/>
                <w:szCs w:val="24"/>
              </w:rPr>
              <w:t>9</w:t>
            </w:r>
            <w:r>
              <w:rPr>
                <w:rFonts w:eastAsia="宋体" w:cs="方正楷体_GBK" w:hint="eastAsia"/>
                <w:sz w:val="24"/>
                <w:szCs w:val="24"/>
              </w:rPr>
              <w:t>月</w:t>
            </w:r>
            <w:r>
              <w:rPr>
                <w:rFonts w:eastAsia="宋体" w:cs="方正楷体_GBK" w:hint="eastAsia"/>
                <w:sz w:val="24"/>
                <w:szCs w:val="24"/>
              </w:rPr>
              <w:t>18</w:t>
            </w:r>
            <w:r>
              <w:rPr>
                <w:rFonts w:eastAsia="宋体" w:cs="方正楷体_GBK" w:hint="eastAsia"/>
                <w:sz w:val="24"/>
                <w:szCs w:val="24"/>
              </w:rPr>
              <w:t>日，美国加州正式签署了</w:t>
            </w:r>
            <w:r>
              <w:rPr>
                <w:rFonts w:eastAsia="宋体" w:cs="方正楷体_GBK" w:hint="eastAsia"/>
                <w:sz w:val="24"/>
                <w:szCs w:val="24"/>
              </w:rPr>
              <w:lastRenderedPageBreak/>
              <w:t>AB5</w:t>
            </w:r>
            <w:r>
              <w:rPr>
                <w:rFonts w:eastAsia="宋体" w:cs="方正楷体_GBK" w:hint="eastAsia"/>
                <w:sz w:val="24"/>
                <w:szCs w:val="24"/>
              </w:rPr>
              <w:t>法案，并已经于</w:t>
            </w:r>
            <w:r>
              <w:rPr>
                <w:rFonts w:eastAsia="宋体" w:cs="方正楷体_GBK" w:hint="eastAsia"/>
                <w:sz w:val="24"/>
                <w:szCs w:val="24"/>
              </w:rPr>
              <w:t>2020</w:t>
            </w:r>
            <w:r>
              <w:rPr>
                <w:rFonts w:eastAsia="宋体" w:cs="方正楷体_GBK" w:hint="eastAsia"/>
                <w:sz w:val="24"/>
                <w:szCs w:val="24"/>
              </w:rPr>
              <w:t>年</w:t>
            </w:r>
            <w:r>
              <w:rPr>
                <w:rFonts w:eastAsia="宋体" w:cs="方正楷体_GBK" w:hint="eastAsia"/>
                <w:sz w:val="24"/>
                <w:szCs w:val="24"/>
              </w:rPr>
              <w:t>1</w:t>
            </w:r>
            <w:r>
              <w:rPr>
                <w:rFonts w:eastAsia="宋体" w:cs="方正楷体_GBK" w:hint="eastAsia"/>
                <w:sz w:val="24"/>
                <w:szCs w:val="24"/>
              </w:rPr>
              <w:t>月</w:t>
            </w:r>
            <w:r>
              <w:rPr>
                <w:rFonts w:eastAsia="宋体" w:cs="方正楷体_GBK" w:hint="eastAsia"/>
                <w:sz w:val="24"/>
                <w:szCs w:val="24"/>
              </w:rPr>
              <w:t>1</w:t>
            </w:r>
            <w:r>
              <w:rPr>
                <w:rFonts w:eastAsia="宋体" w:cs="方正楷体_GBK" w:hint="eastAsia"/>
                <w:sz w:val="24"/>
                <w:szCs w:val="24"/>
              </w:rPr>
              <w:t>日正式生效。</w:t>
            </w:r>
            <w:r>
              <w:rPr>
                <w:rFonts w:eastAsia="宋体" w:cs="方正楷体_GBK" w:hint="eastAsia"/>
                <w:sz w:val="24"/>
                <w:szCs w:val="24"/>
              </w:rPr>
              <w:t>AB5</w:t>
            </w:r>
            <w:r>
              <w:rPr>
                <w:rFonts w:eastAsia="宋体" w:cs="方正楷体_GBK" w:hint="eastAsia"/>
                <w:sz w:val="24"/>
                <w:szCs w:val="24"/>
              </w:rPr>
              <w:t>法案要求将临时合同工纳入雇主的正式受雇员工。而此前</w:t>
            </w:r>
            <w:r>
              <w:rPr>
                <w:rFonts w:eastAsia="宋体" w:cs="方正楷体_GBK" w:hint="eastAsia"/>
                <w:sz w:val="24"/>
                <w:szCs w:val="24"/>
              </w:rPr>
              <w:t>Uber</w:t>
            </w:r>
            <w:r>
              <w:rPr>
                <w:rFonts w:eastAsia="宋体" w:cs="方正楷体_GBK" w:hint="eastAsia"/>
                <w:sz w:val="24"/>
                <w:szCs w:val="24"/>
              </w:rPr>
              <w:t>网约车司机等从业人员属于合同工范畴，其工作时长不受公司约束，同时薪资也不受最低薪酬的影响。在</w:t>
            </w:r>
            <w:r>
              <w:rPr>
                <w:rFonts w:eastAsia="宋体" w:cs="方正楷体_GBK" w:hint="eastAsia"/>
                <w:sz w:val="24"/>
                <w:szCs w:val="24"/>
              </w:rPr>
              <w:t>AB5</w:t>
            </w:r>
            <w:r>
              <w:rPr>
                <w:rFonts w:eastAsia="宋体" w:cs="方正楷体_GBK" w:hint="eastAsia"/>
                <w:sz w:val="24"/>
                <w:szCs w:val="24"/>
              </w:rPr>
              <w:t>法案实施之后，这部分从业人员需被纳入正式雇员，除非平台能证明同时满足三个条件：一是合同和实际工作情况都能够证明网约工从事的工作不受平台控制指挥；二是网约工从事的工作并非企业的日常经营业务；二是网约工独立开展工作，即使网约工作与雇员向雇主履行的工作职责一致。由此，证明劳动关系的法律事实由肯定性的变为了否定性的，这将增加了平台的举证难度，尤其是第二个条件，平台很难证明网约工作不是企业的核心业务。</w:t>
            </w:r>
          </w:p>
          <w:p w14:paraId="3DA0684E" w14:textId="77777777" w:rsidR="00602083" w:rsidRDefault="00E51994">
            <w:pPr>
              <w:adjustRightInd w:val="0"/>
              <w:spacing w:line="360" w:lineRule="auto"/>
              <w:ind w:firstLine="480"/>
              <w:rPr>
                <w:rFonts w:eastAsia="宋体" w:cs="Times New Roman"/>
                <w:sz w:val="24"/>
                <w:szCs w:val="24"/>
              </w:rPr>
            </w:pPr>
            <w:r>
              <w:rPr>
                <w:rFonts w:eastAsia="宋体" w:cs="方正楷体_GBK" w:hint="eastAsia"/>
                <w:sz w:val="24"/>
                <w:szCs w:val="24"/>
              </w:rPr>
              <w:t>二是创设新的法律关系。即在“非黑即白”的二分法之外，探索“第三类劳动者”的法律身份。如加拿大的“依赖性承包人”、英国的“非雇员工作者”、德国的“类雇员人”、西班牙的“经济依赖性自雇佣劳动者”以及意大利的“准从属性劳动者”，均属于此种模式。以英国为例，</w:t>
            </w:r>
            <w:r>
              <w:rPr>
                <w:rFonts w:eastAsia="宋体" w:cs="方正楷体_GBK" w:hint="eastAsia"/>
                <w:sz w:val="24"/>
                <w:szCs w:val="24"/>
              </w:rPr>
              <w:t>20</w:t>
            </w:r>
            <w:r>
              <w:rPr>
                <w:rFonts w:eastAsia="宋体" w:cs="方正楷体_GBK" w:hint="eastAsia"/>
                <w:sz w:val="24"/>
                <w:szCs w:val="24"/>
              </w:rPr>
              <w:t>世纪</w:t>
            </w:r>
            <w:r>
              <w:rPr>
                <w:rFonts w:eastAsia="宋体" w:cs="方正楷体_GBK" w:hint="eastAsia"/>
                <w:sz w:val="24"/>
                <w:szCs w:val="24"/>
              </w:rPr>
              <w:t>90</w:t>
            </w:r>
            <w:r>
              <w:rPr>
                <w:rFonts w:eastAsia="宋体" w:cs="方正楷体_GBK" w:hint="eastAsia"/>
                <w:sz w:val="24"/>
                <w:szCs w:val="24"/>
              </w:rPr>
              <w:t>年代以来颁布了《就业权利法》（</w:t>
            </w:r>
            <w:r>
              <w:rPr>
                <w:rFonts w:eastAsia="宋体" w:cs="方正楷体_GBK" w:hint="eastAsia"/>
                <w:sz w:val="24"/>
                <w:szCs w:val="24"/>
              </w:rPr>
              <w:t>Employment Rights Act</w:t>
            </w:r>
            <w:r>
              <w:rPr>
                <w:rFonts w:eastAsia="宋体" w:cs="方正楷体_GBK" w:hint="eastAsia"/>
                <w:sz w:val="24"/>
                <w:szCs w:val="24"/>
              </w:rPr>
              <w:t>）等法律，在雇员和自雇者（</w:t>
            </w:r>
            <w:r>
              <w:rPr>
                <w:rFonts w:eastAsia="宋体" w:cs="方正楷体_GBK" w:hint="eastAsia"/>
                <w:sz w:val="24"/>
                <w:szCs w:val="24"/>
              </w:rPr>
              <w:t>Self-employed</w:t>
            </w:r>
            <w:r>
              <w:rPr>
                <w:rFonts w:eastAsia="宋体" w:cs="方正楷体_GBK" w:hint="eastAsia"/>
                <w:sz w:val="24"/>
                <w:szCs w:val="24"/>
              </w:rPr>
              <w:t>）之外创造了“非雇员工作者”（</w:t>
            </w:r>
            <w:r>
              <w:rPr>
                <w:rFonts w:eastAsia="宋体" w:cs="方正楷体_GBK" w:hint="eastAsia"/>
                <w:sz w:val="24"/>
                <w:szCs w:val="24"/>
              </w:rPr>
              <w:t>Worker</w:t>
            </w:r>
            <w:r>
              <w:rPr>
                <w:rFonts w:eastAsia="宋体" w:cs="方正楷体_GBK" w:hint="eastAsia"/>
                <w:sz w:val="24"/>
                <w:szCs w:val="24"/>
              </w:rPr>
              <w:t>）概念，认定标准包括：第一，在劳动合同下工作；第二，以任何约定方式与另一方订立亲自履行或承担任何工作或服务合同的个人，且另一方不是个人从事事业或职业的委托人或顾客。着意味着立法将无法证明符合自雇标准的其他劳务提供者作为了第三种类型。这部分非雇员工作者享有最低工资、带薪年假、病假等与工资、工时相关的劳动基准权利。近年来，英国各级劳工法庭通过将</w:t>
            </w:r>
            <w:r>
              <w:rPr>
                <w:rFonts w:eastAsia="宋体" w:cs="方正楷体_GBK" w:hint="eastAsia"/>
                <w:sz w:val="24"/>
                <w:szCs w:val="24"/>
              </w:rPr>
              <w:t>Uber</w:t>
            </w:r>
            <w:r>
              <w:rPr>
                <w:rFonts w:eastAsia="宋体" w:cs="方正楷体_GBK" w:hint="eastAsia"/>
                <w:sz w:val="24"/>
                <w:szCs w:val="24"/>
              </w:rPr>
              <w:t>、</w:t>
            </w:r>
            <w:r>
              <w:rPr>
                <w:rFonts w:eastAsia="宋体" w:cs="方正楷体_GBK" w:hint="eastAsia"/>
                <w:sz w:val="24"/>
                <w:szCs w:val="24"/>
              </w:rPr>
              <w:t>CitySprint</w:t>
            </w:r>
            <w:r>
              <w:rPr>
                <w:rFonts w:eastAsia="宋体" w:cs="方正楷体_GBK" w:hint="eastAsia"/>
                <w:sz w:val="24"/>
                <w:szCs w:val="24"/>
              </w:rPr>
              <w:t>、</w:t>
            </w:r>
            <w:r>
              <w:rPr>
                <w:rFonts w:eastAsia="宋体" w:cs="方正楷体_GBK" w:hint="eastAsia"/>
                <w:sz w:val="24"/>
                <w:szCs w:val="24"/>
              </w:rPr>
              <w:t>Deliveroo</w:t>
            </w:r>
            <w:r>
              <w:rPr>
                <w:rFonts w:eastAsia="宋体" w:cs="方正楷体_GBK" w:hint="eastAsia"/>
                <w:sz w:val="24"/>
                <w:szCs w:val="24"/>
              </w:rPr>
              <w:t>等平台企业的灵活就业人员认定为工作者，从而支持了相关从业群体劳动权益保障的请求。</w:t>
            </w:r>
          </w:p>
        </w:tc>
      </w:tr>
    </w:tbl>
    <w:p w14:paraId="00DFA6C1" w14:textId="77777777" w:rsidR="00602083" w:rsidRDefault="00E51994">
      <w:pPr>
        <w:pStyle w:val="3"/>
        <w:spacing w:before="192" w:after="240"/>
        <w:ind w:firstLine="480"/>
      </w:pPr>
      <w:bookmarkStart w:id="104" w:name="_Toc30317"/>
      <w:bookmarkStart w:id="105" w:name="_Toc92734368"/>
      <w:bookmarkStart w:id="106" w:name="_Toc93925278"/>
      <w:r>
        <w:lastRenderedPageBreak/>
        <w:t>（二）</w:t>
      </w:r>
      <w:bookmarkStart w:id="107" w:name="_Hlk92732655"/>
      <w:r>
        <w:t>数字经济的劳动力市场供需错配明显</w:t>
      </w:r>
      <w:bookmarkEnd w:id="104"/>
      <w:bookmarkEnd w:id="105"/>
      <w:bookmarkEnd w:id="106"/>
      <w:bookmarkEnd w:id="107"/>
    </w:p>
    <w:p w14:paraId="1F0CECEB" w14:textId="77777777" w:rsidR="00602083" w:rsidRDefault="00E51994">
      <w:pPr>
        <w:spacing w:line="360" w:lineRule="auto"/>
        <w:ind w:firstLine="480"/>
        <w:rPr>
          <w:rFonts w:eastAsia="宋体" w:cs="Times New Roman"/>
          <w:sz w:val="24"/>
          <w:szCs w:val="24"/>
        </w:rPr>
      </w:pPr>
      <w:r>
        <w:rPr>
          <w:rFonts w:eastAsia="宋体" w:cs="Times New Roman"/>
          <w:sz w:val="24"/>
          <w:szCs w:val="24"/>
        </w:rPr>
        <w:t>不同于农业经济、工业经济时代以土地、原材料等物理实体作为生产资料的特征，数字经济是以数据作为关键生产资料，具有显著的</w:t>
      </w:r>
      <w:r>
        <w:rPr>
          <w:rFonts w:eastAsia="宋体" w:cs="Times New Roman"/>
          <w:sz w:val="24"/>
          <w:szCs w:val="24"/>
        </w:rPr>
        <w:t>“</w:t>
      </w:r>
      <w:r>
        <w:rPr>
          <w:rFonts w:eastAsia="宋体" w:cs="Times New Roman"/>
          <w:sz w:val="24"/>
          <w:szCs w:val="24"/>
        </w:rPr>
        <w:t>知识经济</w:t>
      </w:r>
      <w:r>
        <w:rPr>
          <w:rFonts w:eastAsia="宋体" w:cs="Times New Roman"/>
          <w:sz w:val="24"/>
          <w:szCs w:val="24"/>
        </w:rPr>
        <w:t>”</w:t>
      </w:r>
      <w:r>
        <w:rPr>
          <w:rFonts w:eastAsia="宋体" w:cs="Times New Roman"/>
          <w:sz w:val="24"/>
          <w:szCs w:val="24"/>
        </w:rPr>
        <w:t>特征，这对劳动力素质提出了更高要求。但是就我国劳动力市场现状而言，存在着高素质人才缺口严重、整体素质不高的两大严峻问题。</w:t>
      </w:r>
    </w:p>
    <w:p w14:paraId="4DE9ACB1" w14:textId="77777777" w:rsidR="00602083" w:rsidRDefault="00E51994">
      <w:pPr>
        <w:spacing w:line="360" w:lineRule="auto"/>
        <w:ind w:firstLine="480"/>
        <w:rPr>
          <w:rFonts w:eastAsia="宋体" w:cs="Times New Roman"/>
          <w:sz w:val="24"/>
          <w:szCs w:val="24"/>
        </w:rPr>
      </w:pPr>
      <w:r>
        <w:rPr>
          <w:rFonts w:eastAsia="宋体" w:cs="Times New Roman"/>
          <w:sz w:val="24"/>
          <w:szCs w:val="24"/>
        </w:rPr>
        <w:t>一方面，高素质数字人才短缺。由于我国教育体系仍然具有浓厚的工业时代特点，无论是教育体系、学科设置，还是课程内容、教学方式方面都较为落后，并不适配数字经济发展所急需的高技术型、跨学科型、复合型人才。如在产业数字化、智能</w:t>
      </w:r>
      <w:r>
        <w:rPr>
          <w:rFonts w:eastAsia="宋体" w:cs="Times New Roman"/>
          <w:sz w:val="24"/>
          <w:szCs w:val="24"/>
        </w:rPr>
        <w:lastRenderedPageBreak/>
        <w:t>化进程中，不仅需要人才掌握先进信息技术，还需对制造业各细分行业的生产特点、流程、工艺有深入理解，才能实现数字技术与工业发展的有效融合。据相关统计显示，目前我国同时掌握</w:t>
      </w:r>
      <w:r>
        <w:rPr>
          <w:rFonts w:eastAsia="宋体" w:cs="Times New Roman"/>
          <w:sz w:val="24"/>
          <w:szCs w:val="24"/>
        </w:rPr>
        <w:t>“</w:t>
      </w:r>
      <w:r>
        <w:rPr>
          <w:rFonts w:eastAsia="宋体" w:cs="Times New Roman"/>
          <w:sz w:val="24"/>
          <w:szCs w:val="24"/>
        </w:rPr>
        <w:t>人工智能</w:t>
      </w:r>
      <w:r>
        <w:rPr>
          <w:rFonts w:eastAsia="宋体" w:cs="Times New Roman"/>
          <w:sz w:val="24"/>
          <w:szCs w:val="24"/>
        </w:rPr>
        <w:t>+</w:t>
      </w:r>
      <w:r>
        <w:rPr>
          <w:rFonts w:eastAsia="宋体" w:cs="Times New Roman"/>
          <w:sz w:val="24"/>
          <w:szCs w:val="24"/>
        </w:rPr>
        <w:t>制造</w:t>
      </w:r>
      <w:r>
        <w:rPr>
          <w:rFonts w:eastAsia="宋体" w:cs="Times New Roman"/>
          <w:sz w:val="24"/>
          <w:szCs w:val="24"/>
        </w:rPr>
        <w:t>”</w:t>
      </w:r>
      <w:r>
        <w:rPr>
          <w:rFonts w:eastAsia="宋体" w:cs="Times New Roman"/>
          <w:sz w:val="24"/>
          <w:szCs w:val="24"/>
        </w:rPr>
        <w:t>的复合型人才极其稀缺，人工智能人才缺口达</w:t>
      </w:r>
      <w:r>
        <w:rPr>
          <w:rFonts w:eastAsia="宋体" w:cs="Times New Roman"/>
          <w:sz w:val="24"/>
          <w:szCs w:val="24"/>
        </w:rPr>
        <w:t>30</w:t>
      </w:r>
      <w:r>
        <w:rPr>
          <w:rFonts w:eastAsia="宋体" w:cs="Times New Roman"/>
          <w:sz w:val="24"/>
          <w:szCs w:val="24"/>
        </w:rPr>
        <w:t>万人</w:t>
      </w:r>
      <w:r>
        <w:rPr>
          <w:rFonts w:eastAsia="宋体" w:cs="Times New Roman"/>
          <w:sz w:val="24"/>
          <w:szCs w:val="24"/>
          <w:vertAlign w:val="superscript"/>
        </w:rPr>
        <w:t>[</w:t>
      </w:r>
      <w:r>
        <w:rPr>
          <w:rFonts w:eastAsia="宋体" w:cs="Times New Roman"/>
          <w:sz w:val="24"/>
          <w:szCs w:val="24"/>
          <w:vertAlign w:val="superscript"/>
        </w:rPr>
        <w:footnoteReference w:id="60"/>
      </w:r>
      <w:r>
        <w:rPr>
          <w:rFonts w:eastAsia="宋体" w:cs="Times New Roman"/>
          <w:sz w:val="24"/>
          <w:szCs w:val="24"/>
          <w:vertAlign w:val="superscript"/>
        </w:rPr>
        <w:t>]</w:t>
      </w:r>
      <w:r>
        <w:rPr>
          <w:rFonts w:eastAsia="宋体" w:cs="Times New Roman"/>
          <w:sz w:val="24"/>
          <w:szCs w:val="24"/>
        </w:rPr>
        <w:t>。相比发达国家，我国数字人才短板明显。根据《全球数字经济竞争力报告（</w:t>
      </w:r>
      <w:r>
        <w:rPr>
          <w:rFonts w:eastAsia="宋体" w:cs="Times New Roman"/>
          <w:sz w:val="24"/>
          <w:szCs w:val="24"/>
        </w:rPr>
        <w:t>2020</w:t>
      </w:r>
      <w:r>
        <w:rPr>
          <w:rFonts w:eastAsia="宋体" w:cs="Times New Roman"/>
          <w:sz w:val="24"/>
          <w:szCs w:val="24"/>
        </w:rPr>
        <w:t>）》，全球</w:t>
      </w:r>
      <w:r>
        <w:rPr>
          <w:rFonts w:eastAsia="宋体" w:cs="Times New Roman"/>
          <w:sz w:val="24"/>
          <w:szCs w:val="24"/>
        </w:rPr>
        <w:t>30</w:t>
      </w:r>
      <w:r>
        <w:rPr>
          <w:rFonts w:eastAsia="宋体" w:cs="Times New Roman"/>
          <w:sz w:val="24"/>
          <w:szCs w:val="24"/>
        </w:rPr>
        <w:t>个主要城市中，北京竞争力排第八，是中国唯一进入前十的城市，但是其数字人才竞争力排在第</w:t>
      </w:r>
      <w:r>
        <w:rPr>
          <w:rFonts w:eastAsia="宋体" w:cs="Times New Roman"/>
          <w:sz w:val="24"/>
          <w:szCs w:val="24"/>
        </w:rPr>
        <w:t>23</w:t>
      </w:r>
      <w:r>
        <w:rPr>
          <w:rFonts w:eastAsia="宋体" w:cs="Times New Roman"/>
          <w:sz w:val="24"/>
          <w:szCs w:val="24"/>
        </w:rPr>
        <w:t>位（得分</w:t>
      </w:r>
      <w:r>
        <w:rPr>
          <w:rFonts w:eastAsia="宋体" w:cs="Times New Roman"/>
          <w:sz w:val="24"/>
          <w:szCs w:val="24"/>
        </w:rPr>
        <w:t>48.22</w:t>
      </w:r>
      <w:r>
        <w:rPr>
          <w:rFonts w:eastAsia="宋体" w:cs="Times New Roman"/>
          <w:sz w:val="24"/>
          <w:szCs w:val="24"/>
        </w:rPr>
        <w:t>，是纽约的</w:t>
      </w:r>
      <w:r>
        <w:rPr>
          <w:rFonts w:eastAsia="宋体" w:cs="Times New Roman"/>
          <w:sz w:val="24"/>
          <w:szCs w:val="24"/>
        </w:rPr>
        <w:t>71%</w:t>
      </w:r>
      <w:r>
        <w:rPr>
          <w:rFonts w:eastAsia="宋体" w:cs="Times New Roman"/>
          <w:sz w:val="24"/>
          <w:szCs w:val="24"/>
        </w:rPr>
        <w:t>）。</w:t>
      </w:r>
    </w:p>
    <w:p w14:paraId="1892E5EC" w14:textId="77777777" w:rsidR="00602083" w:rsidRDefault="00E51994">
      <w:pPr>
        <w:spacing w:line="360" w:lineRule="auto"/>
        <w:ind w:firstLine="480"/>
        <w:rPr>
          <w:rFonts w:eastAsia="宋体" w:cs="Times New Roman"/>
          <w:sz w:val="24"/>
          <w:szCs w:val="24"/>
        </w:rPr>
      </w:pPr>
      <w:r>
        <w:rPr>
          <w:rFonts w:eastAsia="宋体" w:cs="Times New Roman"/>
          <w:sz w:val="24"/>
          <w:szCs w:val="24"/>
        </w:rPr>
        <w:t>另一方面，劳动者素质整体不高。我国就业群体受教育程度整体偏低且老龄化程度持续加大，与市场人才需求匹配性不高。国家统计局数据显示，在我国就业人员受教育程度构成之中，占比最高的一直是初中教育程度人员（超过</w:t>
      </w:r>
      <w:r>
        <w:rPr>
          <w:rFonts w:eastAsia="宋体" w:cs="Times New Roman"/>
          <w:sz w:val="24"/>
          <w:szCs w:val="24"/>
        </w:rPr>
        <w:t>40%</w:t>
      </w:r>
      <w:r>
        <w:rPr>
          <w:rFonts w:eastAsia="宋体" w:cs="Times New Roman"/>
          <w:sz w:val="24"/>
          <w:szCs w:val="24"/>
        </w:rPr>
        <w:t>），大学专科、本科、研究生比例加总后仅为约</w:t>
      </w:r>
      <w:r>
        <w:rPr>
          <w:rFonts w:eastAsia="宋体" w:cs="Times New Roman"/>
          <w:sz w:val="24"/>
          <w:szCs w:val="24"/>
        </w:rPr>
        <w:t>20%</w:t>
      </w:r>
      <w:r>
        <w:rPr>
          <w:rFonts w:eastAsia="宋体" w:cs="Times New Roman"/>
          <w:sz w:val="24"/>
          <w:szCs w:val="24"/>
        </w:rPr>
        <w:t>，反观英、美等发达国家，高等教育劳动人口比例往往能达到</w:t>
      </w:r>
      <w:r>
        <w:rPr>
          <w:rFonts w:eastAsia="宋体" w:cs="Times New Roman"/>
          <w:sz w:val="24"/>
          <w:szCs w:val="24"/>
        </w:rPr>
        <w:t>30-40%</w:t>
      </w:r>
      <w:r>
        <w:rPr>
          <w:rFonts w:eastAsia="宋体" w:cs="Times New Roman"/>
          <w:sz w:val="24"/>
          <w:szCs w:val="24"/>
        </w:rPr>
        <w:t>。且老龄化程度持续加深，</w:t>
      </w:r>
      <w:r>
        <w:rPr>
          <w:rFonts w:eastAsia="宋体" w:cs="Times New Roman"/>
          <w:sz w:val="24"/>
          <w:szCs w:val="24"/>
        </w:rPr>
        <w:t>2021</w:t>
      </w:r>
      <w:r>
        <w:rPr>
          <w:rFonts w:eastAsia="宋体" w:cs="Times New Roman"/>
          <w:sz w:val="24"/>
          <w:szCs w:val="24"/>
        </w:rPr>
        <w:t>年，中国</w:t>
      </w:r>
      <w:r>
        <w:rPr>
          <w:rFonts w:eastAsia="宋体" w:cs="Times New Roman"/>
          <w:sz w:val="24"/>
          <w:szCs w:val="24"/>
        </w:rPr>
        <w:t>15-64</w:t>
      </w:r>
      <w:r>
        <w:rPr>
          <w:rFonts w:eastAsia="宋体" w:cs="Times New Roman"/>
          <w:sz w:val="24"/>
          <w:szCs w:val="24"/>
        </w:rPr>
        <w:t>岁劳动年龄人口为</w:t>
      </w:r>
      <w:r>
        <w:rPr>
          <w:rFonts w:eastAsia="宋体" w:cs="Times New Roman"/>
          <w:sz w:val="24"/>
          <w:szCs w:val="24"/>
        </w:rPr>
        <w:t>100283</w:t>
      </w:r>
      <w:r>
        <w:rPr>
          <w:rFonts w:eastAsia="宋体" w:cs="Times New Roman"/>
          <w:sz w:val="24"/>
          <w:szCs w:val="24"/>
        </w:rPr>
        <w:t>万人，占比为</w:t>
      </w:r>
      <w:r>
        <w:rPr>
          <w:rFonts w:eastAsia="宋体" w:cs="Times New Roman"/>
          <w:sz w:val="24"/>
          <w:szCs w:val="24"/>
        </w:rPr>
        <w:t>74.4%</w:t>
      </w:r>
      <w:r>
        <w:rPr>
          <w:rFonts w:eastAsia="宋体" w:cs="Times New Roman"/>
          <w:sz w:val="24"/>
          <w:szCs w:val="24"/>
        </w:rPr>
        <w:t>，首次出现下降，</w:t>
      </w:r>
      <w:r>
        <w:rPr>
          <w:rFonts w:eastAsia="宋体" w:cs="Times New Roman"/>
          <w:sz w:val="24"/>
          <w:szCs w:val="24"/>
        </w:rPr>
        <w:t>2019</w:t>
      </w:r>
      <w:r>
        <w:rPr>
          <w:rFonts w:eastAsia="宋体" w:cs="Times New Roman"/>
          <w:sz w:val="24"/>
          <w:szCs w:val="24"/>
        </w:rPr>
        <w:t>年这一年龄段人口下降为</w:t>
      </w:r>
      <w:r>
        <w:rPr>
          <w:rFonts w:eastAsia="宋体" w:cs="Times New Roman"/>
          <w:sz w:val="24"/>
          <w:szCs w:val="24"/>
        </w:rPr>
        <w:t>98910</w:t>
      </w:r>
      <w:r>
        <w:rPr>
          <w:rFonts w:eastAsia="宋体" w:cs="Times New Roman"/>
          <w:sz w:val="24"/>
          <w:szCs w:val="24"/>
        </w:rPr>
        <w:t>万人，占比下滑至</w:t>
      </w:r>
      <w:r>
        <w:rPr>
          <w:rFonts w:eastAsia="宋体" w:cs="Times New Roman"/>
          <w:sz w:val="24"/>
          <w:szCs w:val="24"/>
        </w:rPr>
        <w:t>70.6%</w:t>
      </w:r>
      <w:r>
        <w:rPr>
          <w:rFonts w:eastAsia="宋体" w:cs="Times New Roman"/>
          <w:sz w:val="24"/>
          <w:szCs w:val="24"/>
        </w:rPr>
        <w:t>。劳动力市场的供需错配意味着结构性失业风险的进一步加大，被替代群体很可能并不能胜任新创造岗位。</w:t>
      </w:r>
    </w:p>
    <w:p w14:paraId="568B41D6" w14:textId="77777777" w:rsidR="00602083" w:rsidRDefault="00E51994">
      <w:pPr>
        <w:pStyle w:val="3"/>
        <w:spacing w:before="192" w:after="240"/>
        <w:ind w:firstLine="480"/>
      </w:pPr>
      <w:bookmarkStart w:id="108" w:name="_Toc13492"/>
      <w:bookmarkStart w:id="109" w:name="_Toc92734369"/>
      <w:bookmarkStart w:id="110" w:name="_Toc93925279"/>
      <w:r>
        <w:t>（三）</w:t>
      </w:r>
      <w:bookmarkStart w:id="111" w:name="_Hlk92732662"/>
      <w:r>
        <w:t>数字经济平台滥用支配地位问题突出</w:t>
      </w:r>
      <w:bookmarkEnd w:id="108"/>
      <w:bookmarkEnd w:id="109"/>
      <w:bookmarkEnd w:id="110"/>
      <w:bookmarkEnd w:id="111"/>
    </w:p>
    <w:p w14:paraId="376983F0" w14:textId="77777777" w:rsidR="00602083" w:rsidRDefault="00E51994">
      <w:pPr>
        <w:spacing w:line="360" w:lineRule="auto"/>
        <w:ind w:firstLine="480"/>
        <w:rPr>
          <w:rFonts w:eastAsia="宋体" w:cs="Times New Roman"/>
          <w:sz w:val="24"/>
          <w:szCs w:val="24"/>
        </w:rPr>
      </w:pPr>
      <w:r>
        <w:rPr>
          <w:rFonts w:eastAsia="宋体" w:cs="Times New Roman"/>
          <w:sz w:val="24"/>
          <w:szCs w:val="24"/>
        </w:rPr>
        <w:t>一方面，技术赋能下的平台对劳动者的控制能力不断加强，平台基于对劳动者数据的全面整合、算法的高效分析，能够实现对劳动过程、劳动效率的全时监控与全程干预。由此将技术优势转化为权力与地位优势，平台无需雇佣庞大的管理监督队伍、建立制度化的社会关系，就能对大规模、分散化的劳动者实现强有力的控制，并在规则制定、资源调度、利益分配中占据绝对优势地位，成为无法协商的雇主。</w:t>
      </w:r>
    </w:p>
    <w:p w14:paraId="65F755D1" w14:textId="77777777" w:rsidR="00602083" w:rsidRDefault="00E51994">
      <w:pPr>
        <w:spacing w:line="360" w:lineRule="auto"/>
        <w:ind w:firstLine="480"/>
        <w:rPr>
          <w:rFonts w:eastAsia="宋体" w:cs="Times New Roman"/>
          <w:sz w:val="24"/>
          <w:szCs w:val="24"/>
        </w:rPr>
      </w:pPr>
      <w:r>
        <w:rPr>
          <w:rFonts w:eastAsia="宋体" w:cs="Times New Roman"/>
          <w:sz w:val="24"/>
          <w:szCs w:val="24"/>
        </w:rPr>
        <w:t>另一方面，依托数字平台的劳动者更为原子化、孤立化，在智能算法的调度指挥之下，劳动者之间、劳动者与社会之间密切协作、紧密交流的需要日益弱化，尤其是以外卖骑手、网约车司机、网约家政服务员等为代表的平台灵活就业群体更为突出。其固定工作时空、流动性较强、任务碎片化的劳动特征，大大增加了进入工会、共青团、妇联等以实体型组织、标准化劳动模式为基础的群团组织的难度，故而在劳动力市场中处于更加边缘的弱势地位。据北京市调查显示，在专职网约工中只有</w:t>
      </w:r>
      <w:r>
        <w:rPr>
          <w:rFonts w:eastAsia="宋体" w:cs="Times New Roman"/>
          <w:sz w:val="24"/>
          <w:szCs w:val="24"/>
        </w:rPr>
        <w:t>20.8%</w:t>
      </w:r>
      <w:r>
        <w:rPr>
          <w:rFonts w:eastAsia="宋体" w:cs="Times New Roman"/>
          <w:sz w:val="24"/>
          <w:szCs w:val="24"/>
        </w:rPr>
        <w:t>是</w:t>
      </w:r>
      <w:r>
        <w:rPr>
          <w:rFonts w:eastAsia="宋体" w:cs="Times New Roman"/>
          <w:sz w:val="24"/>
          <w:szCs w:val="24"/>
        </w:rPr>
        <w:lastRenderedPageBreak/>
        <w:t>工会会员，其中还包括在从事网约工职业以前就已经加入工会的群体</w:t>
      </w:r>
      <w:r>
        <w:rPr>
          <w:rFonts w:eastAsia="宋体" w:cs="Times New Roman"/>
          <w:sz w:val="24"/>
          <w:szCs w:val="24"/>
          <w:vertAlign w:val="superscript"/>
        </w:rPr>
        <w:t>[</w:t>
      </w:r>
      <w:r>
        <w:rPr>
          <w:rFonts w:eastAsia="宋体" w:cs="Times New Roman"/>
          <w:sz w:val="24"/>
          <w:szCs w:val="24"/>
          <w:vertAlign w:val="superscript"/>
        </w:rPr>
        <w:footnoteReference w:id="61"/>
      </w:r>
      <w:r>
        <w:rPr>
          <w:rFonts w:eastAsia="宋体" w:cs="Times New Roman"/>
          <w:sz w:val="24"/>
          <w:szCs w:val="24"/>
          <w:vertAlign w:val="superscript"/>
        </w:rPr>
        <w:t>]</w:t>
      </w:r>
      <w:r>
        <w:rPr>
          <w:rFonts w:eastAsia="宋体" w:cs="Times New Roman"/>
          <w:sz w:val="24"/>
          <w:szCs w:val="24"/>
        </w:rPr>
        <w:t>。</w:t>
      </w:r>
    </w:p>
    <w:p w14:paraId="5CA425A4" w14:textId="77777777" w:rsidR="00602083" w:rsidRDefault="00E51994">
      <w:pPr>
        <w:spacing w:line="360" w:lineRule="auto"/>
        <w:ind w:firstLine="480"/>
        <w:rPr>
          <w:rFonts w:eastAsia="宋体" w:cs="Times New Roman"/>
          <w:sz w:val="24"/>
          <w:szCs w:val="24"/>
        </w:rPr>
      </w:pPr>
      <w:r>
        <w:rPr>
          <w:rFonts w:eastAsia="宋体" w:cs="Times New Roman"/>
          <w:sz w:val="24"/>
          <w:szCs w:val="24"/>
        </w:rPr>
        <w:t>劳动者原子化、孤立化的特性，让他们在与强势垄断平台的博弈中处于更加弱势的地位，难以享有通过所在组织获得的关于自身休息休假、工作报酬等权益保障、劳动纠纷调节协商的话语权优势。因而平台能够利用市场支配地位，制定仅对平台单方有利的收入分配规则，对劳动者实行高比例抽成、强迫</w:t>
      </w:r>
      <w:r>
        <w:rPr>
          <w:rFonts w:eastAsia="宋体" w:cs="Times New Roman" w:hint="eastAsia"/>
          <w:sz w:val="24"/>
          <w:szCs w:val="24"/>
        </w:rPr>
        <w:t>“</w:t>
      </w:r>
      <w:r>
        <w:rPr>
          <w:rFonts w:eastAsia="宋体" w:cs="Times New Roman"/>
          <w:sz w:val="24"/>
          <w:szCs w:val="24"/>
        </w:rPr>
        <w:t>二选一</w:t>
      </w:r>
      <w:r>
        <w:rPr>
          <w:rFonts w:eastAsia="宋体" w:cs="Times New Roman" w:hint="eastAsia"/>
          <w:sz w:val="24"/>
          <w:szCs w:val="24"/>
        </w:rPr>
        <w:t>”</w:t>
      </w:r>
      <w:r>
        <w:rPr>
          <w:rFonts w:eastAsia="宋体" w:cs="Times New Roman"/>
          <w:sz w:val="24"/>
          <w:szCs w:val="24"/>
        </w:rPr>
        <w:t>、进行</w:t>
      </w:r>
      <w:r>
        <w:rPr>
          <w:rFonts w:eastAsia="宋体" w:cs="Times New Roman" w:hint="eastAsia"/>
          <w:sz w:val="24"/>
          <w:szCs w:val="24"/>
        </w:rPr>
        <w:t>“</w:t>
      </w:r>
      <w:r>
        <w:rPr>
          <w:rFonts w:eastAsia="宋体" w:cs="Times New Roman"/>
          <w:sz w:val="24"/>
          <w:szCs w:val="24"/>
        </w:rPr>
        <w:t>算法霸凌</w:t>
      </w:r>
      <w:r>
        <w:rPr>
          <w:rFonts w:eastAsia="宋体" w:cs="Times New Roman" w:hint="eastAsia"/>
          <w:sz w:val="24"/>
          <w:szCs w:val="24"/>
        </w:rPr>
        <w:t>”</w:t>
      </w:r>
      <w:r>
        <w:rPr>
          <w:rFonts w:eastAsia="宋体" w:cs="Times New Roman"/>
          <w:sz w:val="24"/>
          <w:szCs w:val="24"/>
        </w:rPr>
        <w:t>等，侵害劳动者包括劳动报酬、休息、安全卫生等在内的正当劳动权益。</w:t>
      </w:r>
    </w:p>
    <w:p w14:paraId="2044E1F1" w14:textId="77777777" w:rsidR="00602083" w:rsidRDefault="00E51994">
      <w:pPr>
        <w:pStyle w:val="3"/>
        <w:spacing w:before="192" w:after="240"/>
        <w:ind w:firstLine="480"/>
      </w:pPr>
      <w:bookmarkStart w:id="112" w:name="_Toc26334"/>
      <w:bookmarkStart w:id="113" w:name="_Toc17038"/>
      <w:bookmarkStart w:id="114" w:name="_Toc92734370"/>
      <w:bookmarkStart w:id="115" w:name="_Toc93925280"/>
      <w:r>
        <w:t>（四）</w:t>
      </w:r>
      <w:bookmarkStart w:id="116" w:name="_Hlk92732671"/>
      <w:r>
        <w:t>新型就业人员的劳动保障</w:t>
      </w:r>
      <w:r>
        <w:rPr>
          <w:rFonts w:hint="eastAsia"/>
        </w:rPr>
        <w:t>权益</w:t>
      </w:r>
      <w:r>
        <w:t>严重不足</w:t>
      </w:r>
      <w:bookmarkEnd w:id="112"/>
      <w:bookmarkEnd w:id="113"/>
      <w:bookmarkEnd w:id="114"/>
      <w:bookmarkEnd w:id="115"/>
      <w:bookmarkEnd w:id="116"/>
    </w:p>
    <w:p w14:paraId="0D9C9A78" w14:textId="77777777" w:rsidR="00602083" w:rsidRDefault="00E51994">
      <w:pPr>
        <w:spacing w:line="360" w:lineRule="auto"/>
        <w:ind w:firstLine="480"/>
        <w:rPr>
          <w:rFonts w:eastAsia="宋体" w:cs="Times New Roman"/>
          <w:sz w:val="24"/>
          <w:szCs w:val="24"/>
        </w:rPr>
      </w:pPr>
      <w:r>
        <w:rPr>
          <w:rFonts w:eastAsia="宋体" w:cs="Times New Roman"/>
          <w:sz w:val="24"/>
          <w:szCs w:val="24"/>
        </w:rPr>
        <w:t>近年来，我国新就业形态劳动者数量持续提升。人社部数据显示，我国灵活就业从业人员规模已经达到</w:t>
      </w:r>
      <w:r>
        <w:rPr>
          <w:rFonts w:eastAsia="宋体" w:cs="Times New Roman"/>
          <w:sz w:val="24"/>
          <w:szCs w:val="24"/>
        </w:rPr>
        <w:t>2</w:t>
      </w:r>
      <w:r>
        <w:rPr>
          <w:rFonts w:eastAsia="宋体" w:cs="Times New Roman"/>
          <w:sz w:val="24"/>
          <w:szCs w:val="24"/>
        </w:rPr>
        <w:t>亿人，约有</w:t>
      </w:r>
      <w:r>
        <w:rPr>
          <w:rFonts w:eastAsia="宋体" w:cs="Times New Roman"/>
          <w:sz w:val="24"/>
          <w:szCs w:val="24"/>
        </w:rPr>
        <w:t>8400</w:t>
      </w:r>
      <w:r>
        <w:rPr>
          <w:rFonts w:eastAsia="宋体" w:cs="Times New Roman"/>
          <w:sz w:val="24"/>
          <w:szCs w:val="24"/>
        </w:rPr>
        <w:t>万劳动者依托互联网平台就业，约占全国就业人数的</w:t>
      </w:r>
      <w:r>
        <w:rPr>
          <w:rFonts w:eastAsia="宋体" w:cs="Times New Roman"/>
          <w:sz w:val="24"/>
          <w:szCs w:val="24"/>
        </w:rPr>
        <w:t>11%</w:t>
      </w:r>
      <w:r>
        <w:rPr>
          <w:rFonts w:eastAsia="宋体" w:cs="Times New Roman"/>
          <w:sz w:val="24"/>
          <w:szCs w:val="24"/>
        </w:rPr>
        <w:t>。但由于法律保护缺位、平台担责不足等因素，新就业形态劳动者权益保障严重不足。</w:t>
      </w:r>
    </w:p>
    <w:p w14:paraId="4BDE9EBF" w14:textId="77777777" w:rsidR="00602083" w:rsidRDefault="00E51994">
      <w:pPr>
        <w:spacing w:line="360" w:lineRule="auto"/>
        <w:ind w:firstLine="482"/>
        <w:rPr>
          <w:rFonts w:eastAsia="宋体" w:cs="Times New Roman"/>
          <w:sz w:val="24"/>
          <w:szCs w:val="24"/>
        </w:rPr>
      </w:pPr>
      <w:r>
        <w:rPr>
          <w:rFonts w:eastAsia="宋体" w:cs="Times New Roman"/>
          <w:b/>
          <w:bCs/>
          <w:sz w:val="24"/>
          <w:szCs w:val="24"/>
        </w:rPr>
        <w:t>一是劳动基准缺失</w:t>
      </w:r>
      <w:r>
        <w:rPr>
          <w:rFonts w:eastAsia="宋体" w:cs="Times New Roman"/>
          <w:sz w:val="24"/>
          <w:szCs w:val="24"/>
        </w:rPr>
        <w:t>，劳动者缺乏加班限制、休息休假、安全卫生的保护。在生存和竞争压力、平台严苛考评体系下，不得不牺牲休息和安全的需要超负荷工作。外卖领域，</w:t>
      </w:r>
      <w:r>
        <w:rPr>
          <w:rFonts w:eastAsia="宋体" w:cs="Times New Roman"/>
          <w:sz w:val="24"/>
          <w:szCs w:val="24"/>
        </w:rPr>
        <w:t>39.40%</w:t>
      </w:r>
      <w:r>
        <w:rPr>
          <w:rFonts w:eastAsia="宋体" w:cs="Times New Roman"/>
          <w:sz w:val="24"/>
          <w:szCs w:val="24"/>
        </w:rPr>
        <w:t>的骑手每天工作时长超过</w:t>
      </w:r>
      <w:r>
        <w:rPr>
          <w:rFonts w:eastAsia="宋体" w:cs="Times New Roman"/>
          <w:sz w:val="24"/>
          <w:szCs w:val="24"/>
        </w:rPr>
        <w:t>12</w:t>
      </w:r>
      <w:r>
        <w:rPr>
          <w:rFonts w:eastAsia="宋体" w:cs="Times New Roman"/>
          <w:sz w:val="24"/>
          <w:szCs w:val="24"/>
        </w:rPr>
        <w:t>个小时，</w:t>
      </w:r>
      <w:r>
        <w:rPr>
          <w:rFonts w:eastAsia="宋体" w:cs="Times New Roman"/>
          <w:sz w:val="24"/>
          <w:szCs w:val="24"/>
        </w:rPr>
        <w:t>37.32%</w:t>
      </w:r>
      <w:r>
        <w:rPr>
          <w:rFonts w:eastAsia="宋体" w:cs="Times New Roman"/>
          <w:sz w:val="24"/>
          <w:szCs w:val="24"/>
        </w:rPr>
        <w:t>的骑手表示自己每月基本不休息；</w:t>
      </w:r>
      <w:r>
        <w:rPr>
          <w:rFonts w:eastAsia="宋体" w:cs="Times New Roman"/>
          <w:sz w:val="24"/>
          <w:szCs w:val="24"/>
        </w:rPr>
        <w:t>88.28%</w:t>
      </w:r>
      <w:r>
        <w:rPr>
          <w:rFonts w:eastAsia="宋体" w:cs="Times New Roman"/>
          <w:sz w:val="24"/>
          <w:szCs w:val="24"/>
        </w:rPr>
        <w:t>的骑手因为担心订单超时，不能按时送到而选择违反交通安全规则；</w:t>
      </w:r>
      <w:r>
        <w:rPr>
          <w:rFonts w:eastAsia="宋体" w:cs="Times New Roman"/>
          <w:sz w:val="24"/>
          <w:szCs w:val="24"/>
        </w:rPr>
        <w:t>24.78%</w:t>
      </w:r>
      <w:r>
        <w:rPr>
          <w:rFonts w:eastAsia="宋体" w:cs="Times New Roman"/>
          <w:sz w:val="24"/>
          <w:szCs w:val="24"/>
        </w:rPr>
        <w:t>的骑手患有胃病、腰肌劳损、颈椎病等慢性疾病</w:t>
      </w:r>
      <w:r>
        <w:rPr>
          <w:rFonts w:eastAsia="宋体" w:cs="Times New Roman"/>
          <w:sz w:val="24"/>
          <w:szCs w:val="30"/>
          <w:vertAlign w:val="superscript"/>
        </w:rPr>
        <w:t>[</w:t>
      </w:r>
      <w:r>
        <w:rPr>
          <w:rFonts w:eastAsia="宋体" w:cs="Times New Roman"/>
          <w:sz w:val="24"/>
          <w:szCs w:val="30"/>
          <w:vertAlign w:val="superscript"/>
        </w:rPr>
        <w:footnoteReference w:id="62"/>
      </w:r>
      <w:r>
        <w:rPr>
          <w:rFonts w:eastAsia="宋体" w:cs="Times New Roman"/>
          <w:sz w:val="24"/>
          <w:szCs w:val="30"/>
          <w:vertAlign w:val="superscript"/>
        </w:rPr>
        <w:t>]</w:t>
      </w:r>
      <w:r>
        <w:rPr>
          <w:rFonts w:eastAsia="宋体" w:cs="Times New Roman"/>
          <w:sz w:val="24"/>
          <w:szCs w:val="24"/>
        </w:rPr>
        <w:t>。快递领域，我国快递从业人员每天工作</w:t>
      </w:r>
      <w:r>
        <w:rPr>
          <w:rFonts w:eastAsia="宋体" w:cs="Times New Roman"/>
          <w:sz w:val="24"/>
          <w:szCs w:val="24"/>
        </w:rPr>
        <w:t>10-12</w:t>
      </w:r>
      <w:r>
        <w:rPr>
          <w:rFonts w:eastAsia="宋体" w:cs="Times New Roman"/>
          <w:sz w:val="24"/>
          <w:szCs w:val="24"/>
        </w:rPr>
        <w:t>小时的占</w:t>
      </w:r>
      <w:r>
        <w:rPr>
          <w:rFonts w:eastAsia="宋体" w:cs="Times New Roman"/>
          <w:sz w:val="24"/>
          <w:szCs w:val="24"/>
        </w:rPr>
        <w:t>33.69%</w:t>
      </w:r>
      <w:r>
        <w:rPr>
          <w:rFonts w:eastAsia="宋体" w:cs="Times New Roman"/>
          <w:sz w:val="24"/>
          <w:szCs w:val="24"/>
        </w:rPr>
        <w:t>，近两成从业人员工作</w:t>
      </w:r>
      <w:r>
        <w:rPr>
          <w:rFonts w:eastAsia="宋体" w:cs="Times New Roman"/>
          <w:sz w:val="24"/>
          <w:szCs w:val="24"/>
        </w:rPr>
        <w:t>12</w:t>
      </w:r>
      <w:r>
        <w:rPr>
          <w:rFonts w:eastAsia="宋体" w:cs="Times New Roman"/>
          <w:sz w:val="24"/>
          <w:szCs w:val="24"/>
        </w:rPr>
        <w:t>小时以上，末端揽投人员每天工作</w:t>
      </w:r>
      <w:r>
        <w:rPr>
          <w:rFonts w:eastAsia="宋体" w:cs="Times New Roman"/>
          <w:sz w:val="24"/>
          <w:szCs w:val="24"/>
        </w:rPr>
        <w:t>10</w:t>
      </w:r>
      <w:r>
        <w:rPr>
          <w:rFonts w:eastAsia="宋体" w:cs="Times New Roman"/>
          <w:sz w:val="24"/>
          <w:szCs w:val="24"/>
        </w:rPr>
        <w:t>小时以上的比例更高</w:t>
      </w:r>
      <w:r>
        <w:rPr>
          <w:rFonts w:eastAsia="宋体" w:cs="Times New Roman"/>
          <w:sz w:val="24"/>
          <w:szCs w:val="30"/>
          <w:vertAlign w:val="superscript"/>
        </w:rPr>
        <w:t>[</w:t>
      </w:r>
      <w:r>
        <w:rPr>
          <w:rFonts w:eastAsia="宋体" w:cs="Times New Roman"/>
          <w:sz w:val="24"/>
          <w:szCs w:val="30"/>
          <w:vertAlign w:val="superscript"/>
        </w:rPr>
        <w:footnoteReference w:id="63"/>
      </w:r>
      <w:r>
        <w:rPr>
          <w:rFonts w:eastAsia="宋体" w:cs="Times New Roman"/>
          <w:sz w:val="24"/>
          <w:szCs w:val="30"/>
          <w:vertAlign w:val="superscript"/>
        </w:rPr>
        <w:t>]</w:t>
      </w:r>
      <w:r>
        <w:rPr>
          <w:rFonts w:eastAsia="宋体" w:cs="Times New Roman"/>
          <w:sz w:val="24"/>
          <w:szCs w:val="24"/>
        </w:rPr>
        <w:t>。网约车领域，大部分网约车司机一周出车</w:t>
      </w:r>
      <w:r>
        <w:rPr>
          <w:rFonts w:eastAsia="宋体" w:cs="Times New Roman"/>
          <w:sz w:val="24"/>
          <w:szCs w:val="24"/>
        </w:rPr>
        <w:t>7</w:t>
      </w:r>
      <w:r>
        <w:rPr>
          <w:rFonts w:eastAsia="宋体" w:cs="Times New Roman"/>
          <w:sz w:val="24"/>
          <w:szCs w:val="24"/>
        </w:rPr>
        <w:t>天，占比约</w:t>
      </w:r>
      <w:r>
        <w:rPr>
          <w:rFonts w:eastAsia="宋体" w:cs="Times New Roman"/>
          <w:sz w:val="24"/>
          <w:szCs w:val="24"/>
        </w:rPr>
        <w:t>74.76</w:t>
      </w:r>
      <w:r>
        <w:rPr>
          <w:rFonts w:eastAsia="宋体" w:cs="Times New Roman"/>
          <w:sz w:val="24"/>
          <w:szCs w:val="24"/>
        </w:rPr>
        <w:t>％，出车在</w:t>
      </w:r>
      <w:r>
        <w:rPr>
          <w:rFonts w:eastAsia="宋体" w:cs="Times New Roman"/>
          <w:sz w:val="24"/>
          <w:szCs w:val="24"/>
        </w:rPr>
        <w:t>5</w:t>
      </w:r>
      <w:r>
        <w:rPr>
          <w:rFonts w:eastAsia="宋体" w:cs="Times New Roman"/>
          <w:sz w:val="24"/>
          <w:szCs w:val="24"/>
        </w:rPr>
        <w:t>天以下的司机群体比例不足</w:t>
      </w:r>
      <w:r>
        <w:rPr>
          <w:rFonts w:eastAsia="宋体" w:cs="Times New Roman"/>
          <w:sz w:val="24"/>
          <w:szCs w:val="24"/>
        </w:rPr>
        <w:t>10</w:t>
      </w:r>
      <w:r>
        <w:rPr>
          <w:rFonts w:eastAsia="宋体" w:cs="Times New Roman"/>
          <w:sz w:val="24"/>
          <w:szCs w:val="30"/>
          <w:vertAlign w:val="superscript"/>
        </w:rPr>
        <w:t>[</w:t>
      </w:r>
      <w:r>
        <w:rPr>
          <w:rFonts w:eastAsia="宋体" w:cs="Times New Roman"/>
          <w:sz w:val="24"/>
          <w:szCs w:val="30"/>
          <w:vertAlign w:val="superscript"/>
        </w:rPr>
        <w:footnoteReference w:id="64"/>
      </w:r>
      <w:r>
        <w:rPr>
          <w:rFonts w:eastAsia="宋体" w:cs="Times New Roman"/>
          <w:sz w:val="24"/>
          <w:szCs w:val="30"/>
          <w:vertAlign w:val="superscript"/>
        </w:rPr>
        <w:t>]</w:t>
      </w:r>
      <w:r>
        <w:rPr>
          <w:rFonts w:eastAsia="宋体" w:cs="Times New Roman"/>
          <w:sz w:val="24"/>
          <w:szCs w:val="24"/>
        </w:rPr>
        <w:t>。</w:t>
      </w:r>
    </w:p>
    <w:p w14:paraId="367CE539" w14:textId="77777777" w:rsidR="00602083" w:rsidRDefault="00E51994">
      <w:pPr>
        <w:spacing w:line="360" w:lineRule="auto"/>
        <w:ind w:firstLine="482"/>
        <w:rPr>
          <w:rFonts w:eastAsia="宋体" w:cs="Times New Roman"/>
          <w:sz w:val="24"/>
          <w:szCs w:val="24"/>
        </w:rPr>
      </w:pPr>
      <w:r>
        <w:rPr>
          <w:rFonts w:eastAsia="宋体" w:cs="Times New Roman"/>
          <w:b/>
          <w:bCs/>
          <w:sz w:val="24"/>
          <w:szCs w:val="24"/>
        </w:rPr>
        <w:t>二是社会保险缺位。</w:t>
      </w:r>
      <w:r>
        <w:rPr>
          <w:rFonts w:eastAsia="宋体" w:cs="Times New Roman"/>
          <w:sz w:val="24"/>
          <w:szCs w:val="24"/>
        </w:rPr>
        <w:t>新就业形态劳动者参保率严重偏低，以货运行业为例，仅有</w:t>
      </w:r>
      <w:r>
        <w:rPr>
          <w:rFonts w:eastAsia="宋体" w:cs="Times New Roman"/>
          <w:sz w:val="24"/>
          <w:szCs w:val="24"/>
        </w:rPr>
        <w:t>22.5%</w:t>
      </w:r>
      <w:r>
        <w:rPr>
          <w:rFonts w:eastAsia="宋体" w:cs="Times New Roman"/>
          <w:sz w:val="24"/>
          <w:szCs w:val="24"/>
        </w:rPr>
        <w:t>的货车司机投保了交通意外险、</w:t>
      </w:r>
      <w:r>
        <w:rPr>
          <w:rFonts w:eastAsia="宋体" w:cs="Times New Roman"/>
          <w:sz w:val="24"/>
          <w:szCs w:val="24"/>
        </w:rPr>
        <w:t>7.7%</w:t>
      </w:r>
      <w:r>
        <w:rPr>
          <w:rFonts w:eastAsia="宋体" w:cs="Times New Roman"/>
          <w:sz w:val="24"/>
          <w:szCs w:val="24"/>
        </w:rPr>
        <w:t>参与医疗保险、</w:t>
      </w:r>
      <w:r>
        <w:rPr>
          <w:rFonts w:eastAsia="宋体" w:cs="Times New Roman"/>
          <w:sz w:val="24"/>
          <w:szCs w:val="24"/>
        </w:rPr>
        <w:t>7.6%</w:t>
      </w:r>
      <w:r>
        <w:rPr>
          <w:rFonts w:eastAsia="宋体" w:cs="Times New Roman"/>
          <w:sz w:val="24"/>
          <w:szCs w:val="24"/>
        </w:rPr>
        <w:t>投保养老保险，参与工伤保险、失业保险占比更小，还有</w:t>
      </w:r>
      <w:r>
        <w:rPr>
          <w:rFonts w:eastAsia="宋体" w:cs="Times New Roman"/>
          <w:sz w:val="24"/>
          <w:szCs w:val="24"/>
        </w:rPr>
        <w:t>20%</w:t>
      </w:r>
      <w:r>
        <w:rPr>
          <w:rFonts w:eastAsia="宋体" w:cs="Times New Roman"/>
          <w:sz w:val="24"/>
          <w:szCs w:val="24"/>
        </w:rPr>
        <w:t>的货车司机没有投保或缴纳保险费用</w:t>
      </w:r>
      <w:r>
        <w:rPr>
          <w:rFonts w:eastAsia="宋体" w:cs="Times New Roman"/>
          <w:sz w:val="24"/>
          <w:szCs w:val="30"/>
          <w:vertAlign w:val="superscript"/>
        </w:rPr>
        <w:t>[</w:t>
      </w:r>
      <w:r>
        <w:rPr>
          <w:rFonts w:eastAsia="宋体" w:cs="Times New Roman"/>
          <w:sz w:val="24"/>
          <w:szCs w:val="30"/>
          <w:vertAlign w:val="superscript"/>
        </w:rPr>
        <w:footnoteReference w:id="65"/>
      </w:r>
      <w:r>
        <w:rPr>
          <w:rFonts w:eastAsia="宋体" w:cs="Times New Roman"/>
          <w:sz w:val="24"/>
          <w:szCs w:val="30"/>
          <w:vertAlign w:val="superscript"/>
        </w:rPr>
        <w:t>]</w:t>
      </w:r>
      <w:r>
        <w:rPr>
          <w:rFonts w:eastAsia="宋体" w:cs="Times New Roman"/>
          <w:sz w:val="24"/>
          <w:szCs w:val="24"/>
        </w:rPr>
        <w:t>。这主要是由于新就业形态劳动者不属于标准化的劳动关系，难以满足现行社会保险体</w:t>
      </w:r>
      <w:r>
        <w:rPr>
          <w:rFonts w:eastAsia="宋体" w:cs="Times New Roman"/>
          <w:sz w:val="24"/>
          <w:szCs w:val="24"/>
        </w:rPr>
        <w:lastRenderedPageBreak/>
        <w:t>系的参保条件。尽管当前法律为灵活从业群体提供了个人身份参保的通道，但不仅范围有限，往往仅包括养老和医疗保险；而且存在缴费偏高、户籍限制、申报手续复杂、异地转移接续困难等问题，保障范围和力度明显不足。在工伤保险方面，骑手、快递员等劳动者工作环境复杂、强度大、工伤高发，但缺乏参与社会工伤保险的制度通道，实践中往往是以商业保险进行保障替代，但存在保障范围窄、理赔难、保障水平低等问题。</w:t>
      </w:r>
    </w:p>
    <w:tbl>
      <w:tblPr>
        <w:tblStyle w:val="afe"/>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522"/>
      </w:tblGrid>
      <w:tr w:rsidR="00602083" w14:paraId="048F67FB" w14:textId="77777777">
        <w:trPr>
          <w:jc w:val="center"/>
        </w:trPr>
        <w:tc>
          <w:tcPr>
            <w:tcW w:w="8522" w:type="dxa"/>
          </w:tcPr>
          <w:p w14:paraId="70727B65" w14:textId="77777777" w:rsidR="00602083" w:rsidRDefault="00E51994">
            <w:pPr>
              <w:adjustRightInd w:val="0"/>
              <w:spacing w:line="360" w:lineRule="auto"/>
              <w:ind w:firstLineChars="0" w:firstLine="0"/>
              <w:jc w:val="center"/>
              <w:rPr>
                <w:rFonts w:eastAsia="宋体" w:cs="方正楷体_GBK"/>
                <w:sz w:val="24"/>
                <w:szCs w:val="24"/>
              </w:rPr>
            </w:pPr>
            <w:r>
              <w:rPr>
                <w:rFonts w:eastAsia="宋体" w:cs="方正楷体_GBK"/>
                <w:sz w:val="24"/>
                <w:szCs w:val="24"/>
              </w:rPr>
              <w:t>专栏</w:t>
            </w:r>
            <w:r>
              <w:rPr>
                <w:rFonts w:eastAsia="宋体" w:cs="方正楷体_GBK" w:hint="eastAsia"/>
                <w:sz w:val="24"/>
                <w:szCs w:val="24"/>
              </w:rPr>
              <w:t>2</w:t>
            </w:r>
            <w:r>
              <w:rPr>
                <w:rFonts w:eastAsia="宋体" w:cs="方正楷体_GBK"/>
                <w:sz w:val="24"/>
                <w:szCs w:val="24"/>
              </w:rPr>
              <w:t xml:space="preserve">  </w:t>
            </w:r>
            <w:r>
              <w:rPr>
                <w:rFonts w:eastAsia="宋体" w:cs="方正楷体_GBK"/>
                <w:sz w:val="24"/>
                <w:szCs w:val="24"/>
              </w:rPr>
              <w:t>外卖平台如何规避用工责任</w:t>
            </w:r>
          </w:p>
          <w:p w14:paraId="72F4BAAA" w14:textId="77777777" w:rsidR="00602083" w:rsidRDefault="00E51994">
            <w:pPr>
              <w:adjustRightInd w:val="0"/>
              <w:spacing w:line="360" w:lineRule="auto"/>
              <w:ind w:firstLine="480"/>
              <w:rPr>
                <w:rFonts w:eastAsia="宋体" w:cs="方正楷体_GBK"/>
                <w:sz w:val="24"/>
                <w:szCs w:val="24"/>
              </w:rPr>
            </w:pPr>
            <w:r>
              <w:rPr>
                <w:rFonts w:eastAsia="宋体" w:cs="方正楷体_GBK"/>
                <w:sz w:val="24"/>
                <w:szCs w:val="24"/>
              </w:rPr>
              <w:t>一是用工关系层层转包。总体来看，外卖平台有</w:t>
            </w:r>
            <w:r>
              <w:rPr>
                <w:rFonts w:eastAsia="宋体" w:cs="方正楷体_GBK"/>
                <w:sz w:val="24"/>
                <w:szCs w:val="24"/>
              </w:rPr>
              <w:t>“</w:t>
            </w:r>
            <w:r>
              <w:rPr>
                <w:rFonts w:eastAsia="宋体" w:cs="方正楷体_GBK"/>
                <w:sz w:val="24"/>
                <w:szCs w:val="24"/>
              </w:rPr>
              <w:t>专送骑手</w:t>
            </w:r>
            <w:r>
              <w:rPr>
                <w:rFonts w:eastAsia="宋体" w:cs="方正楷体_GBK"/>
                <w:sz w:val="24"/>
                <w:szCs w:val="24"/>
              </w:rPr>
              <w:t>”</w:t>
            </w:r>
            <w:r>
              <w:rPr>
                <w:rFonts w:eastAsia="宋体" w:cs="方正楷体_GBK"/>
                <w:sz w:val="24"/>
                <w:szCs w:val="24"/>
              </w:rPr>
              <w:t>与</w:t>
            </w:r>
            <w:r>
              <w:rPr>
                <w:rFonts w:eastAsia="宋体" w:cs="方正楷体_GBK"/>
                <w:sz w:val="24"/>
                <w:szCs w:val="24"/>
              </w:rPr>
              <w:t>“</w:t>
            </w:r>
            <w:r>
              <w:rPr>
                <w:rFonts w:eastAsia="宋体" w:cs="方正楷体_GBK"/>
                <w:sz w:val="24"/>
                <w:szCs w:val="24"/>
              </w:rPr>
              <w:t>众包骑手</w:t>
            </w:r>
            <w:r>
              <w:rPr>
                <w:rFonts w:eastAsia="宋体" w:cs="方正楷体_GBK"/>
                <w:sz w:val="24"/>
                <w:szCs w:val="24"/>
              </w:rPr>
              <w:t>”</w:t>
            </w:r>
            <w:r>
              <w:rPr>
                <w:rFonts w:eastAsia="宋体" w:cs="方正楷体_GBK"/>
                <w:sz w:val="24"/>
                <w:szCs w:val="24"/>
              </w:rPr>
              <w:t>两种类型。专送骑手是由平台直接雇佣，偶尔采用劳务派遣方式，这类骑手受到劳动法的全面保护。众包骑手属于灵活用工，骑手接单自由、可在多个平台兼职工作。随着平台的发展、骑手数量的增多，为了规避用工成本，平台开始将用工关系层层转包。由配送公司、众包服务公司与骑手签订协议、支付报酬，而劳务外包公司出于用工成本与风险的规避需求也将业务转包给其他公司，最后形成外卖平台联合多家公司对骑手共同管理的网络状外包模式。在骑手的劳动关系层层转包的情况下，一旦出现劳动诉讼，难以进行调查取证和确认被告主体。数据显示，外卖平台由自营转为外包后，被认定为用人单位的概率从</w:t>
            </w:r>
            <w:r>
              <w:rPr>
                <w:rFonts w:eastAsia="宋体" w:cs="方正楷体_GBK"/>
                <w:sz w:val="24"/>
                <w:szCs w:val="24"/>
              </w:rPr>
              <w:t>100%</w:t>
            </w:r>
            <w:r>
              <w:rPr>
                <w:rFonts w:eastAsia="宋体" w:cs="方正楷体_GBK"/>
                <w:sz w:val="24"/>
                <w:szCs w:val="24"/>
              </w:rPr>
              <w:t>骤降至</w:t>
            </w:r>
            <w:r>
              <w:rPr>
                <w:rFonts w:eastAsia="宋体" w:cs="方正楷体_GBK"/>
                <w:sz w:val="24"/>
                <w:szCs w:val="24"/>
              </w:rPr>
              <w:t>0.32%</w:t>
            </w:r>
            <w:r>
              <w:rPr>
                <w:rFonts w:eastAsia="宋体" w:cs="方正楷体_GBK"/>
                <w:sz w:val="24"/>
                <w:szCs w:val="24"/>
                <w:vertAlign w:val="superscript"/>
              </w:rPr>
              <w:t>[</w:t>
            </w:r>
            <w:r>
              <w:rPr>
                <w:rFonts w:eastAsia="宋体" w:cs="方正楷体_GBK"/>
                <w:sz w:val="24"/>
                <w:szCs w:val="24"/>
                <w:vertAlign w:val="superscript"/>
              </w:rPr>
              <w:footnoteReference w:id="66"/>
            </w:r>
            <w:r>
              <w:rPr>
                <w:rFonts w:eastAsia="宋体" w:cs="方正楷体_GBK"/>
                <w:sz w:val="24"/>
                <w:szCs w:val="24"/>
                <w:vertAlign w:val="superscript"/>
              </w:rPr>
              <w:t>]</w:t>
            </w:r>
            <w:r>
              <w:rPr>
                <w:rFonts w:eastAsia="宋体" w:cs="方正楷体_GBK"/>
                <w:sz w:val="24"/>
                <w:szCs w:val="24"/>
              </w:rPr>
              <w:t>。劳动关系的认定困难将导致劳动者权益难以实现有效保障。</w:t>
            </w:r>
          </w:p>
          <w:p w14:paraId="31A9F808" w14:textId="77777777" w:rsidR="00602083" w:rsidRDefault="00E51994">
            <w:pPr>
              <w:adjustRightInd w:val="0"/>
              <w:spacing w:line="360" w:lineRule="auto"/>
              <w:ind w:firstLine="480"/>
              <w:rPr>
                <w:rFonts w:eastAsia="宋体" w:cs="方正楷体_GBK"/>
                <w:sz w:val="24"/>
                <w:szCs w:val="24"/>
              </w:rPr>
            </w:pPr>
            <w:r>
              <w:rPr>
                <w:rFonts w:eastAsia="宋体" w:cs="方正楷体_GBK"/>
                <w:sz w:val="24"/>
                <w:szCs w:val="24"/>
              </w:rPr>
              <w:t>二是将骑手注册为个体工商户。平台与灵活用工平台合作，将专送骑手注册为个体工商户，成功规避了大量社保、税务成本及用工风险。且在注册过程中，配送商是往往以发工资、少交税为由，诱导骑手提交身份证、拍摄视频，进行缺乏其真实意思表示的个体工商户注册。在这一模式下，原本由外卖平台承担的用工成本和风险被完全转嫁到了劳动者身上。数据显示，目前全国共有超过</w:t>
            </w:r>
            <w:r>
              <w:rPr>
                <w:rFonts w:eastAsia="宋体" w:cs="方正楷体_GBK"/>
                <w:sz w:val="24"/>
                <w:szCs w:val="24"/>
              </w:rPr>
              <w:t>190</w:t>
            </w:r>
            <w:r>
              <w:rPr>
                <w:rFonts w:eastAsia="宋体" w:cs="方正楷体_GBK"/>
                <w:sz w:val="24"/>
                <w:szCs w:val="24"/>
              </w:rPr>
              <w:t>万家经营范围包含外卖递送服务的个体工商户。江苏、贵州、广西的注册数量分别高达</w:t>
            </w:r>
            <w:r>
              <w:rPr>
                <w:rFonts w:eastAsia="宋体" w:cs="方正楷体_GBK"/>
                <w:sz w:val="24"/>
                <w:szCs w:val="24"/>
              </w:rPr>
              <w:t>118.11</w:t>
            </w:r>
            <w:r>
              <w:rPr>
                <w:rFonts w:eastAsia="宋体" w:cs="方正楷体_GBK"/>
                <w:sz w:val="24"/>
                <w:szCs w:val="24"/>
              </w:rPr>
              <w:t>万、</w:t>
            </w:r>
            <w:r>
              <w:rPr>
                <w:rFonts w:eastAsia="宋体" w:cs="方正楷体_GBK"/>
                <w:sz w:val="24"/>
                <w:szCs w:val="24"/>
              </w:rPr>
              <w:t>21.03</w:t>
            </w:r>
            <w:r>
              <w:rPr>
                <w:rFonts w:eastAsia="宋体" w:cs="方正楷体_GBK"/>
                <w:sz w:val="24"/>
                <w:szCs w:val="24"/>
              </w:rPr>
              <w:t>万、</w:t>
            </w:r>
            <w:r>
              <w:rPr>
                <w:rFonts w:eastAsia="宋体" w:cs="方正楷体_GBK"/>
                <w:sz w:val="24"/>
                <w:szCs w:val="24"/>
              </w:rPr>
              <w:t>14.21</w:t>
            </w:r>
            <w:r>
              <w:rPr>
                <w:rFonts w:eastAsia="宋体" w:cs="方正楷体_GBK"/>
                <w:sz w:val="24"/>
                <w:szCs w:val="24"/>
              </w:rPr>
              <w:t>万</w:t>
            </w:r>
            <w:r>
              <w:rPr>
                <w:rFonts w:eastAsia="宋体" w:cs="方正楷体_GBK"/>
                <w:sz w:val="24"/>
                <w:szCs w:val="24"/>
                <w:vertAlign w:val="superscript"/>
              </w:rPr>
              <w:t>[</w:t>
            </w:r>
            <w:r>
              <w:rPr>
                <w:rFonts w:eastAsia="宋体" w:cs="方正楷体_GBK"/>
                <w:sz w:val="24"/>
                <w:szCs w:val="24"/>
                <w:vertAlign w:val="superscript"/>
              </w:rPr>
              <w:footnoteReference w:id="67"/>
            </w:r>
            <w:r>
              <w:rPr>
                <w:rFonts w:eastAsia="宋体" w:cs="方正楷体_GBK"/>
                <w:sz w:val="24"/>
                <w:szCs w:val="24"/>
                <w:vertAlign w:val="superscript"/>
              </w:rPr>
              <w:t>]</w:t>
            </w:r>
            <w:r>
              <w:rPr>
                <w:rFonts w:eastAsia="宋体" w:cs="方正楷体_GBK"/>
                <w:sz w:val="24"/>
                <w:szCs w:val="24"/>
              </w:rPr>
              <w:t>。</w:t>
            </w:r>
          </w:p>
          <w:p w14:paraId="609D1083" w14:textId="77777777" w:rsidR="00602083" w:rsidRDefault="00E51994">
            <w:pPr>
              <w:adjustRightInd w:val="0"/>
              <w:spacing w:line="360" w:lineRule="auto"/>
              <w:ind w:firstLine="480"/>
              <w:rPr>
                <w:rFonts w:eastAsia="宋体" w:cs="方正楷体_GBK"/>
                <w:sz w:val="24"/>
                <w:szCs w:val="30"/>
              </w:rPr>
            </w:pPr>
            <w:r>
              <w:rPr>
                <w:rFonts w:eastAsia="宋体" w:cs="方正楷体_GBK"/>
                <w:sz w:val="24"/>
                <w:szCs w:val="24"/>
              </w:rPr>
              <w:t>三是制造种种维权障碍。一是删除关键数据，在外卖平台上，骑手难以查阅或复制劳动过程中的各类个人信息，尤其是当骑手与外卖平台或配送商</w:t>
            </w:r>
            <w:r>
              <w:rPr>
                <w:rFonts w:eastAsia="宋体" w:cs="方正楷体_GBK"/>
                <w:sz w:val="24"/>
                <w:szCs w:val="24"/>
              </w:rPr>
              <w:t>/</w:t>
            </w:r>
            <w:r>
              <w:rPr>
                <w:rFonts w:eastAsia="宋体" w:cs="方正楷体_GBK"/>
                <w:sz w:val="24"/>
                <w:szCs w:val="24"/>
              </w:rPr>
              <w:t>众包服务公司发生纠纷时，相关重要数据（例如跑单记录、工资薪金等）会无故消失，</w:t>
            </w:r>
            <w:r>
              <w:rPr>
                <w:rFonts w:eastAsia="宋体" w:cs="方正楷体_GBK"/>
                <w:sz w:val="24"/>
                <w:szCs w:val="24"/>
              </w:rPr>
              <w:lastRenderedPageBreak/>
              <w:t>为骑手诉讼制造巨大取证困难。二是发起异地诉讼，由于不同地方对待新业态认识与态度不一，骑手劳动关系认定比例存在巨大差异，所以平台在劳动仲裁败诉之后，会选择认劳率较低的法院发起诉讼。全国有</w:t>
            </w:r>
            <w:r>
              <w:rPr>
                <w:rFonts w:eastAsia="宋体" w:cs="方正楷体_GBK"/>
                <w:sz w:val="24"/>
                <w:szCs w:val="24"/>
              </w:rPr>
              <w:t>10</w:t>
            </w:r>
            <w:r>
              <w:rPr>
                <w:rFonts w:eastAsia="宋体" w:cs="方正楷体_GBK"/>
                <w:sz w:val="24"/>
                <w:szCs w:val="24"/>
              </w:rPr>
              <w:t>个地区认劳率达</w:t>
            </w:r>
            <w:r>
              <w:rPr>
                <w:rFonts w:eastAsia="宋体" w:cs="方正楷体_GBK"/>
                <w:sz w:val="24"/>
                <w:szCs w:val="24"/>
              </w:rPr>
              <w:t>90%</w:t>
            </w:r>
            <w:r>
              <w:rPr>
                <w:rFonts w:eastAsia="宋体" w:cs="方正楷体_GBK"/>
                <w:sz w:val="24"/>
                <w:szCs w:val="24"/>
              </w:rPr>
              <w:t>及以上，而认劳率最低的天津、陕西、新疆、福建及海南，认劳率均未超过</w:t>
            </w:r>
            <w:r>
              <w:rPr>
                <w:rFonts w:eastAsia="宋体" w:cs="方正楷体_GBK"/>
                <w:sz w:val="24"/>
                <w:szCs w:val="24"/>
              </w:rPr>
              <w:t>50%</w:t>
            </w:r>
            <w:r>
              <w:rPr>
                <w:rFonts w:eastAsia="宋体" w:cs="方正楷体_GBK"/>
                <w:sz w:val="24"/>
                <w:szCs w:val="24"/>
                <w:vertAlign w:val="superscript"/>
              </w:rPr>
              <w:t>[</w:t>
            </w:r>
            <w:r>
              <w:rPr>
                <w:rFonts w:eastAsia="宋体" w:cs="方正楷体_GBK"/>
                <w:sz w:val="24"/>
                <w:szCs w:val="24"/>
                <w:vertAlign w:val="superscript"/>
              </w:rPr>
              <w:footnoteReference w:id="68"/>
            </w:r>
            <w:r>
              <w:rPr>
                <w:rFonts w:eastAsia="宋体" w:cs="方正楷体_GBK"/>
                <w:sz w:val="24"/>
                <w:szCs w:val="24"/>
                <w:vertAlign w:val="superscript"/>
              </w:rPr>
              <w:t>]</w:t>
            </w:r>
            <w:r>
              <w:rPr>
                <w:rFonts w:eastAsia="宋体" w:cs="方正楷体_GBK"/>
                <w:sz w:val="24"/>
                <w:szCs w:val="24"/>
              </w:rPr>
              <w:t>。不同地域的法院审判结果可能出现巨大差异。</w:t>
            </w:r>
          </w:p>
        </w:tc>
      </w:tr>
    </w:tbl>
    <w:p w14:paraId="0C94BB5D" w14:textId="77777777" w:rsidR="00602083" w:rsidRDefault="00602083">
      <w:pPr>
        <w:pStyle w:val="afffc"/>
      </w:pPr>
      <w:bookmarkStart w:id="117" w:name="_Toc16672"/>
      <w:bookmarkStart w:id="118" w:name="_Toc17120"/>
      <w:bookmarkStart w:id="119" w:name="_Toc92734371"/>
    </w:p>
    <w:p w14:paraId="40E49495" w14:textId="77777777" w:rsidR="00602083" w:rsidRDefault="00E51994">
      <w:pPr>
        <w:pStyle w:val="3"/>
        <w:spacing w:before="192" w:after="240"/>
        <w:ind w:firstLine="480"/>
      </w:pPr>
      <w:bookmarkStart w:id="120" w:name="_Toc93925281"/>
      <w:r>
        <w:t>（五）</w:t>
      </w:r>
      <w:bookmarkStart w:id="121" w:name="_Hlk92732682"/>
      <w:r>
        <w:t>数字技术的劳动控制引发</w:t>
      </w:r>
      <w:r>
        <w:rPr>
          <w:rFonts w:hint="eastAsia"/>
        </w:rPr>
        <w:t>管理</w:t>
      </w:r>
      <w:r>
        <w:t>危机</w:t>
      </w:r>
      <w:bookmarkEnd w:id="117"/>
      <w:bookmarkEnd w:id="118"/>
      <w:bookmarkEnd w:id="119"/>
      <w:bookmarkEnd w:id="120"/>
      <w:bookmarkEnd w:id="121"/>
    </w:p>
    <w:p w14:paraId="1C250201" w14:textId="77777777" w:rsidR="00602083" w:rsidRDefault="00E51994">
      <w:pPr>
        <w:spacing w:line="360" w:lineRule="auto"/>
        <w:ind w:firstLine="480"/>
        <w:rPr>
          <w:rFonts w:eastAsia="宋体" w:cs="Times New Roman"/>
          <w:sz w:val="24"/>
          <w:szCs w:val="24"/>
        </w:rPr>
      </w:pPr>
      <w:r>
        <w:rPr>
          <w:rFonts w:eastAsia="宋体" w:cs="Times New Roman"/>
          <w:sz w:val="24"/>
          <w:szCs w:val="24"/>
        </w:rPr>
        <w:t>借助于大数据、人工智能、物联网等工具，用工单位能实现对劳动过程的全程监控、工作流程的科学计算、劳动者个体的精准考评，在全面提升工作效率的同时，也引发了伦理危机。</w:t>
      </w:r>
      <w:r>
        <w:rPr>
          <w:rFonts w:eastAsia="宋体" w:cs="Times New Roman"/>
          <w:b/>
          <w:bCs/>
          <w:sz w:val="24"/>
          <w:szCs w:val="24"/>
        </w:rPr>
        <w:t>一是全面监控剥夺劳动自由。</w:t>
      </w:r>
      <w:r>
        <w:rPr>
          <w:rFonts w:eastAsia="宋体" w:cs="Times New Roman"/>
          <w:sz w:val="24"/>
          <w:szCs w:val="24"/>
        </w:rPr>
        <w:t>部分企业使用</w:t>
      </w:r>
      <w:r>
        <w:rPr>
          <w:rFonts w:eastAsia="宋体" w:cs="Times New Roman" w:hint="eastAsia"/>
          <w:sz w:val="24"/>
          <w:szCs w:val="24"/>
        </w:rPr>
        <w:t>“</w:t>
      </w:r>
      <w:r>
        <w:rPr>
          <w:rFonts w:eastAsia="宋体" w:cs="Times New Roman"/>
          <w:sz w:val="24"/>
          <w:szCs w:val="24"/>
        </w:rPr>
        <w:t>AI</w:t>
      </w:r>
      <w:r>
        <w:rPr>
          <w:rFonts w:eastAsia="宋体" w:cs="Times New Roman"/>
          <w:sz w:val="24"/>
          <w:szCs w:val="24"/>
        </w:rPr>
        <w:t>监工</w:t>
      </w:r>
      <w:r>
        <w:rPr>
          <w:rFonts w:eastAsia="宋体" w:cs="Times New Roman" w:hint="eastAsia"/>
          <w:sz w:val="24"/>
          <w:szCs w:val="24"/>
        </w:rPr>
        <w:t>”“</w:t>
      </w:r>
      <w:r>
        <w:rPr>
          <w:rFonts w:eastAsia="宋体" w:cs="Times New Roman"/>
          <w:sz w:val="24"/>
          <w:szCs w:val="24"/>
        </w:rPr>
        <w:t>AI</w:t>
      </w:r>
      <w:r>
        <w:rPr>
          <w:rFonts w:eastAsia="宋体" w:cs="Times New Roman"/>
          <w:sz w:val="24"/>
          <w:szCs w:val="24"/>
        </w:rPr>
        <w:t>裁员</w:t>
      </w:r>
      <w:r>
        <w:rPr>
          <w:rFonts w:eastAsia="宋体" w:cs="Times New Roman" w:hint="eastAsia"/>
          <w:sz w:val="24"/>
          <w:szCs w:val="24"/>
        </w:rPr>
        <w:t>”</w:t>
      </w:r>
      <w:r>
        <w:rPr>
          <w:rFonts w:eastAsia="宋体" w:cs="Times New Roman"/>
          <w:sz w:val="24"/>
          <w:szCs w:val="24"/>
        </w:rPr>
        <w:t>等手段，对劳动者的工作过程进行实时监控与记录，并将休憩时间视为</w:t>
      </w:r>
      <w:r>
        <w:rPr>
          <w:rFonts w:eastAsia="宋体" w:cs="Times New Roman" w:hint="eastAsia"/>
          <w:sz w:val="24"/>
          <w:szCs w:val="24"/>
        </w:rPr>
        <w:t>“</w:t>
      </w:r>
      <w:r>
        <w:rPr>
          <w:rFonts w:eastAsia="宋体" w:cs="Times New Roman"/>
          <w:sz w:val="24"/>
          <w:szCs w:val="24"/>
        </w:rPr>
        <w:t>偷懒</w:t>
      </w:r>
      <w:r>
        <w:rPr>
          <w:rFonts w:eastAsia="宋体" w:cs="Times New Roman" w:hint="eastAsia"/>
          <w:sz w:val="24"/>
          <w:szCs w:val="24"/>
        </w:rPr>
        <w:t>”“</w:t>
      </w:r>
      <w:r>
        <w:rPr>
          <w:rFonts w:eastAsia="宋体" w:cs="Times New Roman"/>
          <w:sz w:val="24"/>
          <w:szCs w:val="24"/>
        </w:rPr>
        <w:t>摸鱼</w:t>
      </w:r>
      <w:r>
        <w:rPr>
          <w:rFonts w:eastAsia="宋体" w:cs="Times New Roman" w:hint="eastAsia"/>
          <w:sz w:val="24"/>
          <w:szCs w:val="24"/>
        </w:rPr>
        <w:t>”</w:t>
      </w:r>
      <w:r>
        <w:rPr>
          <w:rFonts w:eastAsia="宋体" w:cs="Times New Roman"/>
          <w:sz w:val="24"/>
          <w:szCs w:val="24"/>
        </w:rPr>
        <w:t>的指标，以此作为收入扣减甚至解雇的依据。连续性、指标化的监控忽视了劳动者的自主性、创造性，引致了劳动自由的剥夺、个体空间的坍缩，形成了体力与精力的持续性耗竭，不仅对劳动者的身心健康带来巨大隐患，也大大影响了工作效能。</w:t>
      </w:r>
      <w:r>
        <w:rPr>
          <w:rFonts w:eastAsia="宋体" w:cs="Times New Roman"/>
          <w:b/>
          <w:bCs/>
          <w:sz w:val="24"/>
          <w:szCs w:val="24"/>
        </w:rPr>
        <w:t>二是过度计算异化劳动价值。</w:t>
      </w:r>
      <w:r>
        <w:rPr>
          <w:rFonts w:eastAsia="宋体" w:cs="Times New Roman"/>
          <w:sz w:val="24"/>
          <w:szCs w:val="24"/>
        </w:rPr>
        <w:t>借助于具有寻求</w:t>
      </w:r>
      <w:r>
        <w:rPr>
          <w:rFonts w:eastAsia="宋体" w:cs="Times New Roman" w:hint="eastAsia"/>
          <w:sz w:val="24"/>
          <w:szCs w:val="24"/>
        </w:rPr>
        <w:t>“</w:t>
      </w:r>
      <w:r>
        <w:rPr>
          <w:rFonts w:eastAsia="宋体" w:cs="Times New Roman"/>
          <w:sz w:val="24"/>
          <w:szCs w:val="24"/>
        </w:rPr>
        <w:t>最优解</w:t>
      </w:r>
      <w:r>
        <w:rPr>
          <w:rFonts w:eastAsia="宋体" w:cs="Times New Roman" w:hint="eastAsia"/>
          <w:sz w:val="24"/>
          <w:szCs w:val="24"/>
        </w:rPr>
        <w:t>”</w:t>
      </w:r>
      <w:r>
        <w:rPr>
          <w:rFonts w:eastAsia="宋体" w:cs="Times New Roman"/>
          <w:sz w:val="24"/>
          <w:szCs w:val="24"/>
        </w:rPr>
        <w:t>属性的算法技术，平台能大大强化对劳动者的效率的控制也达到了前所未有的高度。平台能够基于海量数据计算出</w:t>
      </w:r>
      <w:r>
        <w:rPr>
          <w:rFonts w:eastAsia="宋体" w:cs="Times New Roman"/>
          <w:sz w:val="24"/>
          <w:szCs w:val="24"/>
        </w:rPr>
        <w:t>“</w:t>
      </w:r>
      <w:r>
        <w:rPr>
          <w:rFonts w:eastAsia="宋体" w:cs="Times New Roman"/>
          <w:sz w:val="24"/>
          <w:szCs w:val="24"/>
        </w:rPr>
        <w:t>最优化</w:t>
      </w:r>
      <w:r>
        <w:rPr>
          <w:rFonts w:eastAsia="宋体" w:cs="Times New Roman"/>
          <w:sz w:val="24"/>
          <w:szCs w:val="24"/>
        </w:rPr>
        <w:t>”</w:t>
      </w:r>
      <w:r>
        <w:rPr>
          <w:rFonts w:eastAsia="宋体" w:cs="Times New Roman"/>
          <w:sz w:val="24"/>
          <w:szCs w:val="24"/>
        </w:rPr>
        <w:t>的工作流程，并以此为范本指导劳动者工作，同时课以严苛的考评体系，最后根据实际劳动情况不断调整优化算法体系，让劳动者陷入了</w:t>
      </w:r>
      <w:r>
        <w:rPr>
          <w:rFonts w:eastAsia="宋体" w:cs="Times New Roman" w:hint="eastAsia"/>
          <w:sz w:val="24"/>
          <w:szCs w:val="24"/>
        </w:rPr>
        <w:t>“</w:t>
      </w:r>
      <w:r>
        <w:rPr>
          <w:rFonts w:eastAsia="宋体" w:cs="Times New Roman"/>
          <w:sz w:val="24"/>
          <w:szCs w:val="24"/>
        </w:rPr>
        <w:t>越跑越快</w:t>
      </w:r>
      <w:r>
        <w:rPr>
          <w:rFonts w:eastAsia="宋体" w:cs="Times New Roman" w:hint="eastAsia"/>
          <w:sz w:val="24"/>
          <w:szCs w:val="24"/>
        </w:rPr>
        <w:t>”</w:t>
      </w:r>
      <w:r>
        <w:rPr>
          <w:rFonts w:eastAsia="宋体" w:cs="Times New Roman"/>
          <w:sz w:val="24"/>
          <w:szCs w:val="24"/>
        </w:rPr>
        <w:t>的困局。在此过程中，劳动目的出现异化，劳动者就业不再是为了实现个人的美好生活，而是成为满足苛刻指标、完成平台创收的工具。如外卖骑手送餐时间持续缩短，甚至因为避免超时，出现了逆向行驶、擅自改造电动车等违规行为，并由此引发了系列工伤事件。</w:t>
      </w:r>
    </w:p>
    <w:tbl>
      <w:tblPr>
        <w:tblStyle w:val="afe"/>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522"/>
      </w:tblGrid>
      <w:tr w:rsidR="00602083" w14:paraId="02BE1C4D" w14:textId="77777777">
        <w:trPr>
          <w:jc w:val="center"/>
        </w:trPr>
        <w:tc>
          <w:tcPr>
            <w:tcW w:w="8522" w:type="dxa"/>
          </w:tcPr>
          <w:p w14:paraId="52CAAD17" w14:textId="77777777" w:rsidR="00602083" w:rsidRDefault="00E51994">
            <w:pPr>
              <w:adjustRightInd w:val="0"/>
              <w:spacing w:line="360" w:lineRule="auto"/>
              <w:ind w:firstLineChars="0" w:firstLine="0"/>
              <w:jc w:val="center"/>
              <w:rPr>
                <w:rFonts w:eastAsia="宋体" w:cs="方正楷体_GBK"/>
                <w:sz w:val="24"/>
                <w:szCs w:val="24"/>
              </w:rPr>
            </w:pPr>
            <w:r>
              <w:rPr>
                <w:rFonts w:eastAsia="宋体" w:cs="方正楷体_GBK"/>
                <w:sz w:val="24"/>
                <w:szCs w:val="24"/>
              </w:rPr>
              <w:t>专栏</w:t>
            </w:r>
            <w:r>
              <w:rPr>
                <w:rFonts w:eastAsia="宋体" w:cs="方正楷体_GBK" w:hint="eastAsia"/>
                <w:sz w:val="24"/>
                <w:szCs w:val="24"/>
              </w:rPr>
              <w:t>3</w:t>
            </w:r>
            <w:r>
              <w:rPr>
                <w:rFonts w:eastAsia="宋体" w:cs="方正楷体_GBK"/>
                <w:sz w:val="24"/>
                <w:szCs w:val="24"/>
              </w:rPr>
              <w:t xml:space="preserve">  </w:t>
            </w:r>
            <w:r>
              <w:rPr>
                <w:rFonts w:eastAsia="宋体" w:cs="方正楷体_GBK"/>
                <w:sz w:val="24"/>
                <w:szCs w:val="24"/>
              </w:rPr>
              <w:t>各省市职业伤害保障试点探索</w:t>
            </w:r>
          </w:p>
          <w:p w14:paraId="445F2532" w14:textId="77777777" w:rsidR="00602083" w:rsidRDefault="00E51994">
            <w:pPr>
              <w:adjustRightInd w:val="0"/>
              <w:spacing w:line="360" w:lineRule="auto"/>
              <w:ind w:firstLine="480"/>
              <w:rPr>
                <w:rFonts w:eastAsia="宋体" w:cs="方正楷体_GBK"/>
                <w:sz w:val="24"/>
                <w:szCs w:val="24"/>
              </w:rPr>
            </w:pPr>
            <w:r>
              <w:rPr>
                <w:rFonts w:eastAsia="宋体" w:cs="方正楷体_GBK"/>
                <w:sz w:val="24"/>
                <w:szCs w:val="24"/>
              </w:rPr>
              <w:t>2021</w:t>
            </w:r>
            <w:r>
              <w:rPr>
                <w:rFonts w:eastAsia="宋体" w:cs="方正楷体_GBK"/>
                <w:sz w:val="24"/>
                <w:szCs w:val="24"/>
              </w:rPr>
              <w:t>年</w:t>
            </w:r>
            <w:r>
              <w:rPr>
                <w:rFonts w:eastAsia="宋体" w:cs="方正楷体_GBK"/>
                <w:sz w:val="24"/>
                <w:szCs w:val="24"/>
              </w:rPr>
              <w:t>3</w:t>
            </w:r>
            <w:r>
              <w:rPr>
                <w:rFonts w:eastAsia="宋体" w:cs="方正楷体_GBK"/>
                <w:sz w:val="24"/>
                <w:szCs w:val="24"/>
              </w:rPr>
              <w:t>月</w:t>
            </w:r>
            <w:r>
              <w:rPr>
                <w:rFonts w:eastAsia="宋体" w:cs="方正楷体_GBK"/>
                <w:sz w:val="24"/>
                <w:szCs w:val="24"/>
              </w:rPr>
              <w:t>5</w:t>
            </w:r>
            <w:r>
              <w:rPr>
                <w:rFonts w:eastAsia="宋体" w:cs="方正楷体_GBK"/>
                <w:sz w:val="24"/>
                <w:szCs w:val="24"/>
              </w:rPr>
              <w:t>日，李克强总理向十三届全国人大四次会议作政府工作报告时表示，要支持和规范发展新就业形态，加快推进职业伤害保障试点。</w:t>
            </w:r>
            <w:r>
              <w:rPr>
                <w:rFonts w:eastAsia="宋体" w:cs="方正楷体_GBK"/>
                <w:sz w:val="24"/>
                <w:szCs w:val="24"/>
              </w:rPr>
              <w:t>7</w:t>
            </w:r>
            <w:r>
              <w:rPr>
                <w:rFonts w:eastAsia="宋体" w:cs="方正楷体_GBK"/>
                <w:sz w:val="24"/>
                <w:szCs w:val="24"/>
              </w:rPr>
              <w:t>月</w:t>
            </w:r>
            <w:r>
              <w:rPr>
                <w:rFonts w:eastAsia="宋体" w:cs="方正楷体_GBK"/>
                <w:sz w:val="24"/>
                <w:szCs w:val="24"/>
              </w:rPr>
              <w:t>7</w:t>
            </w:r>
            <w:r>
              <w:rPr>
                <w:rFonts w:eastAsia="宋体" w:cs="方正楷体_GBK"/>
                <w:sz w:val="24"/>
                <w:szCs w:val="24"/>
              </w:rPr>
              <w:t>日召开的国务院常务会议指出，维护好新就业形态劳动者劳动保障权益。会议指出，以出行、外卖、即时配送等行业为重点，开展灵活就业人员职业伤害保障试点；</w:t>
            </w:r>
            <w:r>
              <w:rPr>
                <w:rFonts w:eastAsia="宋体" w:cs="方正楷体_GBK"/>
                <w:sz w:val="24"/>
                <w:szCs w:val="24"/>
              </w:rPr>
              <w:lastRenderedPageBreak/>
              <w:t>放开灵活就业人员在就业地参加基本养老、基本医疗保险的户籍限制。从地方层面来看，广东、浙江、江西、山东等地已先行先试，率先展开了针对新就业形态从业人员职业伤害的保障试点。</w:t>
            </w:r>
          </w:p>
          <w:p w14:paraId="1122C0D7" w14:textId="77777777" w:rsidR="00602083" w:rsidRDefault="00E51994">
            <w:pPr>
              <w:adjustRightInd w:val="0"/>
              <w:spacing w:line="360" w:lineRule="auto"/>
              <w:ind w:firstLine="480"/>
              <w:rPr>
                <w:rFonts w:eastAsia="宋体" w:cs="方正楷体_GBK"/>
                <w:sz w:val="24"/>
                <w:szCs w:val="24"/>
              </w:rPr>
            </w:pPr>
            <w:r>
              <w:rPr>
                <w:rFonts w:eastAsia="宋体" w:cs="方正楷体_GBK"/>
                <w:sz w:val="24"/>
                <w:szCs w:val="24"/>
              </w:rPr>
              <w:t>一是将新就业形态从业人员直接纳入保障体系，如山东潍坊、江苏南通。以潍坊为例，自</w:t>
            </w:r>
            <w:r>
              <w:rPr>
                <w:rFonts w:eastAsia="宋体" w:cs="方正楷体_GBK"/>
                <w:sz w:val="24"/>
                <w:szCs w:val="24"/>
              </w:rPr>
              <w:t>2015</w:t>
            </w:r>
            <w:r>
              <w:rPr>
                <w:rFonts w:eastAsia="宋体" w:cs="方正楷体_GBK"/>
                <w:sz w:val="24"/>
                <w:szCs w:val="24"/>
              </w:rPr>
              <w:t>年起即启动了补充工伤保险试点工作，后又陆续出台了《关于灵活就业人员参加工伤保险的通知》《潍坊市灵活就业人员工伤认定暂行办法》，将网约配送员、网约车司机等灵活就业人员群体纳入了工伤保险保护范畴。凡在潍坊市各级劳动保障事务代理中心、人才交流中心等劳动人事事务代理机构，以个人身份代理劳动关系的各类灵活就业人员，均须参加工伤保险，并由劳动人事事务代理机构办理参保手续。在待遇享受方面，总体而言，灵活就业人员与单位职工享受相同的待遇政策和标准。特殊之处在于，由于灵活就业人员没有固定的用人单位，按照《工伤保险条例》规定应由用人单位支付的待遇，比如从事故发生之日起超过</w:t>
            </w:r>
            <w:r>
              <w:rPr>
                <w:rFonts w:eastAsia="宋体" w:cs="方正楷体_GBK"/>
                <w:sz w:val="24"/>
                <w:szCs w:val="24"/>
              </w:rPr>
              <w:t>30</w:t>
            </w:r>
            <w:r>
              <w:rPr>
                <w:rFonts w:eastAsia="宋体" w:cs="方正楷体_GBK"/>
                <w:sz w:val="24"/>
                <w:szCs w:val="24"/>
              </w:rPr>
              <w:t>天、一年内提起工伤认定申请的，在此期间发生的符合规定的工伤待遇有关费用，由灵活就业人员自己承担；同时，由于灵活就业人员不存在解除劳动关系的问题，不享受《工伤保险条例》中五级至十级伤残职工与用人单位解除劳动关系时享受的一次性工伤医疗补助金和一次性伤残就业补助金。在工伤认定和劳动能力鉴定方面，参保缴费的灵活就业人员与单位职工执行的政策、标准和流程基本相同。灵活就业人员工伤认定与普通工伤认定申请唯一不同之处在于，《工伤认定申请表》中用人单位意见栏内需劳动（人事）代理机构确认盖章。这种模式虽然有力地提升了新业态从业者的保障水平，然而该模式欠缺上位法的依据，并且涉及行业职业伤害发生概率的测算以及缴费的公平性问题。</w:t>
            </w:r>
          </w:p>
          <w:p w14:paraId="7D4CAB21" w14:textId="77777777" w:rsidR="00602083" w:rsidRDefault="00E51994">
            <w:pPr>
              <w:adjustRightInd w:val="0"/>
              <w:spacing w:line="360" w:lineRule="auto"/>
              <w:ind w:firstLine="480"/>
              <w:rPr>
                <w:rFonts w:eastAsia="宋体" w:cs="方正楷体_GBK"/>
                <w:sz w:val="24"/>
                <w:szCs w:val="24"/>
              </w:rPr>
            </w:pPr>
            <w:r>
              <w:rPr>
                <w:rFonts w:eastAsia="宋体" w:cs="方正楷体_GBK"/>
                <w:sz w:val="24"/>
                <w:szCs w:val="24"/>
              </w:rPr>
              <w:t>二是单工伤保险试点方案。这种方案主要是将工伤保险与劳动关系解绑，以浙江、广东试点为代表。</w:t>
            </w:r>
            <w:r>
              <w:rPr>
                <w:rFonts w:eastAsia="宋体" w:cs="方正楷体_GBK"/>
                <w:sz w:val="24"/>
                <w:szCs w:val="24"/>
              </w:rPr>
              <w:t>2019</w:t>
            </w:r>
            <w:r>
              <w:rPr>
                <w:rFonts w:eastAsia="宋体" w:cs="方正楷体_GBK"/>
                <w:sz w:val="24"/>
                <w:szCs w:val="24"/>
              </w:rPr>
              <w:t>年</w:t>
            </w:r>
            <w:r>
              <w:rPr>
                <w:rFonts w:eastAsia="宋体" w:cs="方正楷体_GBK"/>
                <w:sz w:val="24"/>
                <w:szCs w:val="24"/>
              </w:rPr>
              <w:t>10</w:t>
            </w:r>
            <w:r>
              <w:rPr>
                <w:rFonts w:eastAsia="宋体" w:cs="方正楷体_GBK"/>
                <w:sz w:val="24"/>
                <w:szCs w:val="24"/>
              </w:rPr>
              <w:t>月，浙江省人社厅发布《关于优化新业态劳动用工服务的指导意见》提出</w:t>
            </w:r>
            <w:r>
              <w:rPr>
                <w:rFonts w:eastAsia="宋体" w:cs="方正楷体_GBK"/>
                <w:sz w:val="24"/>
                <w:szCs w:val="24"/>
              </w:rPr>
              <w:t>“</w:t>
            </w:r>
            <w:r>
              <w:rPr>
                <w:rFonts w:eastAsia="宋体" w:cs="方正楷体_GBK"/>
                <w:sz w:val="24"/>
                <w:szCs w:val="24"/>
              </w:rPr>
              <w:t>积极探索新业态从业人员职业伤害保障机制</w:t>
            </w:r>
            <w:r>
              <w:rPr>
                <w:rFonts w:eastAsia="宋体" w:cs="方正楷体_GBK"/>
                <w:sz w:val="24"/>
                <w:szCs w:val="24"/>
              </w:rPr>
              <w:t>”</w:t>
            </w:r>
            <w:r>
              <w:rPr>
                <w:rFonts w:eastAsia="宋体" w:cs="方正楷体_GBK"/>
                <w:sz w:val="24"/>
                <w:szCs w:val="24"/>
              </w:rPr>
              <w:t>。主要做法有：一是规定新业态从业人员可以按规定先行参加工伤保险。这意味着将工伤保险与劳动关系解绑，继而与基本养老保险、基本医疗保险分离，工伤保险的参保和缴费无须与其他社保险种挂钩。</w:t>
            </w:r>
          </w:p>
          <w:p w14:paraId="014E0595" w14:textId="77777777" w:rsidR="00602083" w:rsidRDefault="00E51994">
            <w:pPr>
              <w:adjustRightInd w:val="0"/>
              <w:spacing w:line="360" w:lineRule="auto"/>
              <w:ind w:firstLine="480"/>
              <w:rPr>
                <w:rFonts w:eastAsia="宋体" w:cs="方正楷体_GBK"/>
                <w:sz w:val="24"/>
                <w:szCs w:val="24"/>
              </w:rPr>
            </w:pPr>
            <w:r>
              <w:rPr>
                <w:rFonts w:eastAsia="宋体" w:cs="方正楷体_GBK"/>
                <w:sz w:val="24"/>
                <w:szCs w:val="24"/>
              </w:rPr>
              <w:t>二是明确平台企业的用工主体定位，提出平台可以为新业态从业人员以全省</w:t>
            </w:r>
            <w:r>
              <w:rPr>
                <w:rFonts w:eastAsia="宋体" w:cs="方正楷体_GBK"/>
                <w:sz w:val="24"/>
                <w:szCs w:val="24"/>
              </w:rPr>
              <w:lastRenderedPageBreak/>
              <w:t>上年度职工月平均工资为基数单险种参加工伤保险，平台承担用人单位依法应承担的工伤保险责任。平台可以通过购买商业保险的形式，把应承担的工伤保险责任转由商业保险承担。三是单工伤险与劳动关系下的社会保险可以兼容，建立多重劳动关系的新业态从业人员，各用人单位应当分别为其缴纳工伤保险费。这种模式的缺陷之处在于若在缺乏劳动关系约束的情况下适用工伤保险，可能将导致工伤保险的保障边界将无限扩大，甚至可能成为全社会各种劳动形态的总揽式人身保险，由此将产生极大的财务负担，并且只能由工伤保险基金和平台企业承担，可持续性存在巨大挑战。</w:t>
            </w:r>
          </w:p>
          <w:p w14:paraId="2938CA85" w14:textId="77777777" w:rsidR="00602083" w:rsidRDefault="00E51994">
            <w:pPr>
              <w:adjustRightInd w:val="0"/>
              <w:spacing w:line="360" w:lineRule="auto"/>
              <w:ind w:firstLine="480"/>
              <w:rPr>
                <w:rFonts w:eastAsia="宋体" w:cs="方正楷体_GBK"/>
                <w:sz w:val="24"/>
                <w:szCs w:val="30"/>
              </w:rPr>
            </w:pPr>
            <w:r>
              <w:rPr>
                <w:rFonts w:eastAsia="宋体" w:cs="方正楷体_GBK"/>
                <w:sz w:val="24"/>
                <w:szCs w:val="24"/>
              </w:rPr>
              <w:t>三是非工商保险的社会补偿机制，以苏州太仓、江西九江为代表。</w:t>
            </w:r>
            <w:r>
              <w:rPr>
                <w:rFonts w:eastAsia="宋体" w:cs="方正楷体_GBK"/>
                <w:sz w:val="24"/>
                <w:szCs w:val="24"/>
              </w:rPr>
              <w:t>2015</w:t>
            </w:r>
            <w:r>
              <w:rPr>
                <w:rFonts w:eastAsia="宋体" w:cs="方正楷体_GBK"/>
                <w:sz w:val="24"/>
                <w:szCs w:val="24"/>
              </w:rPr>
              <w:t>年</w:t>
            </w:r>
            <w:r>
              <w:rPr>
                <w:rFonts w:eastAsia="宋体" w:cs="方正楷体_GBK"/>
                <w:sz w:val="24"/>
                <w:szCs w:val="24"/>
              </w:rPr>
              <w:t>1</w:t>
            </w:r>
            <w:r>
              <w:rPr>
                <w:rFonts w:eastAsia="宋体" w:cs="方正楷体_GBK"/>
                <w:sz w:val="24"/>
                <w:szCs w:val="24"/>
              </w:rPr>
              <w:t>月，太仓市正式实施《太仓市灵活就业人员职业伤害保险暂行办法》，提出</w:t>
            </w:r>
            <w:r>
              <w:rPr>
                <w:rFonts w:eastAsia="宋体" w:cs="方正楷体_GBK"/>
                <w:sz w:val="24"/>
                <w:szCs w:val="24"/>
              </w:rPr>
              <w:t>“</w:t>
            </w:r>
            <w:r>
              <w:rPr>
                <w:rFonts w:eastAsia="宋体" w:cs="方正楷体_GBK"/>
                <w:sz w:val="24"/>
                <w:szCs w:val="24"/>
              </w:rPr>
              <w:t>开展灵活就业人员职业伤害保险</w:t>
            </w:r>
            <w:r>
              <w:rPr>
                <w:rFonts w:eastAsia="宋体" w:cs="方正楷体_GBK"/>
                <w:sz w:val="24"/>
                <w:szCs w:val="24"/>
              </w:rPr>
              <w:t>”</w:t>
            </w:r>
            <w:r>
              <w:rPr>
                <w:rFonts w:eastAsia="宋体" w:cs="方正楷体_GBK"/>
                <w:sz w:val="24"/>
                <w:szCs w:val="24"/>
              </w:rPr>
              <w:t>，主要特点有：一是参加社保人员无须额外缴费。按照暂行办法，灵活就业人员职业伤害保险基金按不超过每人每年当年度社会保险最低缴费基数</w:t>
            </w:r>
            <w:r>
              <w:rPr>
                <w:rFonts w:eastAsia="宋体" w:cs="方正楷体_GBK"/>
                <w:sz w:val="24"/>
                <w:szCs w:val="24"/>
              </w:rPr>
              <w:t>1%</w:t>
            </w:r>
            <w:r>
              <w:rPr>
                <w:rFonts w:eastAsia="宋体" w:cs="方正楷体_GBK"/>
                <w:sz w:val="24"/>
                <w:szCs w:val="24"/>
              </w:rPr>
              <w:t>的缴费总额筹资，个人不需要额外承担费用，即已经参加社会保险的灵活就业人员可免费参加职业伤害保险。二是待遇相对</w:t>
            </w:r>
            <w:r>
              <w:rPr>
                <w:rFonts w:eastAsia="宋体" w:cs="方正楷体_GBK"/>
                <w:sz w:val="24"/>
                <w:szCs w:val="24"/>
              </w:rPr>
              <w:t>“</w:t>
            </w:r>
            <w:r>
              <w:rPr>
                <w:rFonts w:eastAsia="宋体" w:cs="方正楷体_GBK"/>
                <w:sz w:val="24"/>
                <w:szCs w:val="24"/>
              </w:rPr>
              <w:t>工伤保险</w:t>
            </w:r>
            <w:r>
              <w:rPr>
                <w:rFonts w:eastAsia="宋体" w:cs="方正楷体_GBK"/>
                <w:sz w:val="24"/>
                <w:szCs w:val="24"/>
              </w:rPr>
              <w:t>”</w:t>
            </w:r>
            <w:r>
              <w:rPr>
                <w:rFonts w:eastAsia="宋体" w:cs="方正楷体_GBK"/>
                <w:sz w:val="24"/>
                <w:szCs w:val="24"/>
              </w:rPr>
              <w:t>有所提高。相比太仓此前实施的《关于推行灵活就业人员工伤保险的实施意见（试行）》（</w:t>
            </w:r>
            <w:r>
              <w:rPr>
                <w:rFonts w:eastAsia="宋体" w:cs="方正楷体_GBK"/>
                <w:sz w:val="24"/>
                <w:szCs w:val="24"/>
              </w:rPr>
              <w:t>2015</w:t>
            </w:r>
            <w:r>
              <w:rPr>
                <w:rFonts w:eastAsia="宋体" w:cs="方正楷体_GBK"/>
                <w:sz w:val="24"/>
                <w:szCs w:val="24"/>
              </w:rPr>
              <w:t>年</w:t>
            </w:r>
            <w:r>
              <w:rPr>
                <w:rFonts w:eastAsia="宋体" w:cs="方正楷体_GBK"/>
                <w:sz w:val="24"/>
                <w:szCs w:val="24"/>
              </w:rPr>
              <w:t>1</w:t>
            </w:r>
            <w:r>
              <w:rPr>
                <w:rFonts w:eastAsia="宋体" w:cs="方正楷体_GBK"/>
                <w:sz w:val="24"/>
                <w:szCs w:val="24"/>
              </w:rPr>
              <w:t>月</w:t>
            </w:r>
            <w:r>
              <w:rPr>
                <w:rFonts w:eastAsia="宋体" w:cs="方正楷体_GBK"/>
                <w:sz w:val="24"/>
                <w:szCs w:val="24"/>
              </w:rPr>
              <w:t>1</w:t>
            </w:r>
            <w:r>
              <w:rPr>
                <w:rFonts w:eastAsia="宋体" w:cs="方正楷体_GBK"/>
                <w:sz w:val="24"/>
                <w:szCs w:val="24"/>
              </w:rPr>
              <w:t>日起停止执行），灵活就业人员职业伤害保险在伤残等级待遇上进行了</w:t>
            </w:r>
            <w:r>
              <w:rPr>
                <w:rFonts w:eastAsia="宋体" w:cs="方正楷体_GBK"/>
                <w:sz w:val="24"/>
                <w:szCs w:val="24"/>
              </w:rPr>
              <w:t>“</w:t>
            </w:r>
            <w:r>
              <w:rPr>
                <w:rFonts w:eastAsia="宋体" w:cs="方正楷体_GBK"/>
                <w:sz w:val="24"/>
                <w:szCs w:val="24"/>
              </w:rPr>
              <w:t>扩充</w:t>
            </w:r>
            <w:r>
              <w:rPr>
                <w:rFonts w:eastAsia="宋体" w:cs="方正楷体_GBK"/>
                <w:sz w:val="24"/>
                <w:szCs w:val="24"/>
              </w:rPr>
              <w:t>”</w:t>
            </w:r>
            <w:r>
              <w:rPr>
                <w:rFonts w:eastAsia="宋体" w:cs="方正楷体_GBK"/>
                <w:sz w:val="24"/>
                <w:szCs w:val="24"/>
              </w:rPr>
              <w:t>和</w:t>
            </w:r>
            <w:r>
              <w:rPr>
                <w:rFonts w:eastAsia="宋体" w:cs="方正楷体_GBK"/>
                <w:sz w:val="24"/>
                <w:szCs w:val="24"/>
              </w:rPr>
              <w:t>“</w:t>
            </w:r>
            <w:r>
              <w:rPr>
                <w:rFonts w:eastAsia="宋体" w:cs="方正楷体_GBK"/>
                <w:sz w:val="24"/>
                <w:szCs w:val="24"/>
              </w:rPr>
              <w:t>提高</w:t>
            </w:r>
            <w:r>
              <w:rPr>
                <w:rFonts w:eastAsia="宋体" w:cs="方正楷体_GBK"/>
                <w:sz w:val="24"/>
                <w:szCs w:val="24"/>
              </w:rPr>
              <w:t>”</w:t>
            </w:r>
            <w:r>
              <w:rPr>
                <w:rFonts w:eastAsia="宋体" w:cs="方正楷体_GBK"/>
                <w:sz w:val="24"/>
                <w:szCs w:val="24"/>
              </w:rPr>
              <w:t>，由原来的</w:t>
            </w:r>
            <w:r>
              <w:rPr>
                <w:rFonts w:eastAsia="宋体" w:cs="方正楷体_GBK"/>
                <w:sz w:val="24"/>
                <w:szCs w:val="24"/>
              </w:rPr>
              <w:t>“</w:t>
            </w:r>
            <w:r>
              <w:rPr>
                <w:rFonts w:eastAsia="宋体" w:cs="方正楷体_GBK"/>
                <w:sz w:val="24"/>
                <w:szCs w:val="24"/>
              </w:rPr>
              <w:t>一次性支付</w:t>
            </w:r>
            <w:r>
              <w:rPr>
                <w:rFonts w:eastAsia="宋体" w:cs="方正楷体_GBK"/>
                <w:sz w:val="24"/>
                <w:szCs w:val="24"/>
              </w:rPr>
              <w:t>”</w:t>
            </w:r>
            <w:r>
              <w:rPr>
                <w:rFonts w:eastAsia="宋体" w:cs="方正楷体_GBK"/>
                <w:sz w:val="24"/>
                <w:szCs w:val="24"/>
              </w:rPr>
              <w:t>变为</w:t>
            </w:r>
            <w:r>
              <w:rPr>
                <w:rFonts w:eastAsia="宋体" w:cs="方正楷体_GBK"/>
                <w:sz w:val="24"/>
                <w:szCs w:val="24"/>
              </w:rPr>
              <w:t>“</w:t>
            </w:r>
            <w:r>
              <w:rPr>
                <w:rFonts w:eastAsia="宋体" w:cs="方正楷体_GBK"/>
                <w:sz w:val="24"/>
                <w:szCs w:val="24"/>
              </w:rPr>
              <w:t>三大块</w:t>
            </w:r>
            <w:r>
              <w:rPr>
                <w:rFonts w:eastAsia="宋体" w:cs="方正楷体_GBK"/>
                <w:sz w:val="24"/>
                <w:szCs w:val="24"/>
              </w:rPr>
              <w:t>”</w:t>
            </w:r>
            <w:r>
              <w:rPr>
                <w:rFonts w:eastAsia="宋体" w:cs="方正楷体_GBK"/>
                <w:sz w:val="24"/>
                <w:szCs w:val="24"/>
              </w:rPr>
              <w:t>待遇。以</w:t>
            </w:r>
            <w:r>
              <w:rPr>
                <w:rFonts w:eastAsia="宋体" w:cs="方正楷体_GBK"/>
                <w:sz w:val="24"/>
                <w:szCs w:val="24"/>
              </w:rPr>
              <w:t>“1~4”</w:t>
            </w:r>
            <w:r>
              <w:rPr>
                <w:rFonts w:eastAsia="宋体" w:cs="方正楷体_GBK"/>
                <w:sz w:val="24"/>
                <w:szCs w:val="24"/>
              </w:rPr>
              <w:t>级伤残等级为例，可享受社会保险全额补贴，基本生活补助，以及可以按需求安装辅助器具。但这种模式的弊端在于，考虑到公共资金的负担，补偿的范围、程度均须控制在一个较低水平，导致一是参保条件严格，既要求本地户籍，又要求参加本市基本养老保险和基本医疗保险并正常缴费的，并要求不能存在任何劳动关系，不能与工伤保险并存</w:t>
            </w:r>
            <w:r>
              <w:rPr>
                <w:rFonts w:eastAsia="宋体" w:cs="方正楷体_GBK" w:hint="eastAsia"/>
                <w:sz w:val="24"/>
                <w:szCs w:val="24"/>
              </w:rPr>
              <w:t>，</w:t>
            </w:r>
            <w:r>
              <w:rPr>
                <w:rFonts w:eastAsia="宋体" w:cs="方正楷体_GBK"/>
                <w:sz w:val="24"/>
                <w:szCs w:val="24"/>
              </w:rPr>
              <w:t>二是保障范围有限，仅保障参保人员受伤待遇，如果灵活就业人员因职业伤害死亡的，则按照职工或居民养老保险规定享受丧葬费和抚恤金。</w:t>
            </w:r>
          </w:p>
        </w:tc>
      </w:tr>
    </w:tbl>
    <w:p w14:paraId="525055A1" w14:textId="77777777" w:rsidR="00602083" w:rsidRDefault="00602083">
      <w:pPr>
        <w:pStyle w:val="afffc"/>
      </w:pPr>
      <w:bookmarkStart w:id="122" w:name="_Toc92734372"/>
    </w:p>
    <w:p w14:paraId="6EF1E4A8" w14:textId="77777777" w:rsidR="00602083" w:rsidRDefault="00E51994">
      <w:pPr>
        <w:pStyle w:val="2"/>
        <w:ind w:firstLine="480"/>
        <w:rPr>
          <w:b/>
        </w:rPr>
      </w:pPr>
      <w:bookmarkStart w:id="123" w:name="_Toc93841284"/>
      <w:bookmarkStart w:id="124" w:name="_Toc93925282"/>
      <w:r>
        <w:rPr>
          <w:rFonts w:hint="eastAsia"/>
        </w:rPr>
        <w:t>五、数字经济对就业与收入分配影响的未来趋势</w:t>
      </w:r>
      <w:bookmarkEnd w:id="122"/>
      <w:bookmarkEnd w:id="123"/>
      <w:bookmarkEnd w:id="124"/>
    </w:p>
    <w:p w14:paraId="50DDEE0D" w14:textId="77777777" w:rsidR="00602083" w:rsidRDefault="00E51994">
      <w:pPr>
        <w:pStyle w:val="3"/>
        <w:spacing w:before="192" w:after="240"/>
        <w:ind w:firstLine="480"/>
      </w:pPr>
      <w:bookmarkStart w:id="125" w:name="_Toc92734373"/>
      <w:bookmarkStart w:id="126" w:name="_Toc93925283"/>
      <w:r>
        <w:rPr>
          <w:rFonts w:hint="eastAsia"/>
        </w:rPr>
        <w:t>（一）数字经济对就业影响的未来趋势</w:t>
      </w:r>
      <w:bookmarkEnd w:id="125"/>
      <w:bookmarkEnd w:id="126"/>
    </w:p>
    <w:p w14:paraId="6D024DA6" w14:textId="77777777" w:rsidR="00602083" w:rsidRDefault="00E51994">
      <w:pPr>
        <w:pStyle w:val="4"/>
      </w:pPr>
      <w:bookmarkStart w:id="127" w:name="_Toc92734374"/>
      <w:r>
        <w:rPr>
          <w:rFonts w:hint="eastAsia"/>
        </w:rPr>
        <w:t>1.数字经济对我国就业的影响将更加深刻</w:t>
      </w:r>
      <w:bookmarkEnd w:id="127"/>
    </w:p>
    <w:p w14:paraId="0C69CCD9" w14:textId="77777777" w:rsidR="00602083" w:rsidRDefault="00E51994">
      <w:pPr>
        <w:spacing w:line="360" w:lineRule="auto"/>
        <w:ind w:firstLine="480"/>
        <w:rPr>
          <w:rFonts w:eastAsia="宋体" w:cs="Times New Roman"/>
          <w:color w:val="000000"/>
          <w:sz w:val="24"/>
          <w:szCs w:val="24"/>
        </w:rPr>
      </w:pPr>
      <w:r>
        <w:rPr>
          <w:rFonts w:eastAsia="宋体" w:cs="Times New Roman" w:hint="eastAsia"/>
          <w:sz w:val="24"/>
          <w:szCs w:val="24"/>
        </w:rPr>
        <w:lastRenderedPageBreak/>
        <w:t>当前和今后一段时期，我国发展仍然处于重要战略机遇期，党中央、国务院高度重视就业问题，实施就业优先战略，为实现更加充分更高质量就业提供了根本保证；我国已转向高质量发展阶段，新发展格局加快构建，为就业长期稳定创造了良好条件。但与此同时，人口结构与经济结构深度调整，人口老龄化进程加快，劳动力供给总量减少，就业领域主要矛盾正在发生重大变化，结构性矛盾更加突出，就业风险来源更加多元化，就业工作的难度和挑战也进一步加大。在此背景下，数字经济对于劳动力市场的作用与影响将进一步凸显。</w:t>
      </w:r>
    </w:p>
    <w:p w14:paraId="51E457E7"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一是数字经济的就业创造效应将会更加显著。</w:t>
      </w:r>
      <w:r>
        <w:rPr>
          <w:rFonts w:eastAsia="宋体" w:cs="Times New Roman" w:hint="eastAsia"/>
          <w:sz w:val="24"/>
          <w:szCs w:val="24"/>
        </w:rPr>
        <w:t>数字经济促就业兼具容量、质量与结构的作用，一方面，不断发展壮大的数字经济既是经济社会的新增长点，也是接续有力的就业新动能，将在与实体经济深度融合的过程中创造更多新就业机会；另一方面，数字经济具有多元性、灵活性、普惠性的特性，能够培育多元化多层次就业需求，带动更多劳动者依托平台就业创业。</w:t>
      </w:r>
    </w:p>
    <w:p w14:paraId="400D262A" w14:textId="77777777" w:rsidR="00602083" w:rsidRDefault="00E51994">
      <w:pPr>
        <w:spacing w:line="360" w:lineRule="auto"/>
        <w:ind w:firstLine="482"/>
        <w:rPr>
          <w:rFonts w:eastAsia="宋体" w:cs="Times New Roman"/>
          <w:sz w:val="24"/>
          <w:szCs w:val="24"/>
        </w:rPr>
      </w:pPr>
      <w:r>
        <w:rPr>
          <w:rFonts w:eastAsia="宋体" w:cs="Times New Roman" w:hint="eastAsia"/>
          <w:b/>
          <w:bCs/>
          <w:sz w:val="24"/>
          <w:szCs w:val="24"/>
        </w:rPr>
        <w:t>二是智能技术的就业替代效应将不断深化。</w:t>
      </w:r>
      <w:r>
        <w:rPr>
          <w:rFonts w:eastAsia="宋体" w:cs="Times New Roman" w:hint="eastAsia"/>
          <w:sz w:val="24"/>
          <w:szCs w:val="24"/>
        </w:rPr>
        <w:t>以机器人、人工智能（</w:t>
      </w:r>
      <w:r>
        <w:rPr>
          <w:rFonts w:eastAsia="宋体" w:cs="Times New Roman" w:hint="eastAsia"/>
          <w:sz w:val="24"/>
          <w:szCs w:val="24"/>
        </w:rPr>
        <w:t>AI</w:t>
      </w:r>
      <w:r>
        <w:rPr>
          <w:rFonts w:eastAsia="宋体" w:cs="Times New Roman" w:hint="eastAsia"/>
          <w:sz w:val="24"/>
          <w:szCs w:val="24"/>
        </w:rPr>
        <w:t>）技术为主的第四次工业革命（工业</w:t>
      </w:r>
      <w:r>
        <w:rPr>
          <w:rFonts w:eastAsia="宋体" w:cs="Times New Roman" w:hint="eastAsia"/>
          <w:sz w:val="24"/>
          <w:szCs w:val="24"/>
        </w:rPr>
        <w:t>4.0</w:t>
      </w:r>
      <w:r>
        <w:rPr>
          <w:rFonts w:eastAsia="宋体" w:cs="Times New Roman" w:hint="eastAsia"/>
          <w:sz w:val="24"/>
          <w:szCs w:val="24"/>
        </w:rPr>
        <w:t>）已经到来，正在深刻影响并改变着中国劳动力市场的就业结构、工作方式和收入分配。人工智能技术能有效应对人口劳动力与用工成本攀升等不利影响导致的劳动力供给短缺，并能够推动实现产业转型升级，培育发展动能、构筑国家竞争力，但同时也会部分群体的就业产生冲击。未来随着技术智能化水平的提升，“替代效应”将从低端、体力工作向中高端、智力工作岗位蔓延。需要我国加强前瞻设计，建立技术就业影响的跟踪研判和协同应对机制，妥善应对潜在影响，防范化解规模性失业风险。</w:t>
      </w:r>
    </w:p>
    <w:p w14:paraId="537DECA7" w14:textId="77777777" w:rsidR="00602083" w:rsidRDefault="00E51994">
      <w:pPr>
        <w:pStyle w:val="4"/>
      </w:pPr>
      <w:bookmarkStart w:id="128" w:name="_Toc92734375"/>
      <w:r>
        <w:rPr>
          <w:rFonts w:hint="eastAsia"/>
        </w:rPr>
        <w:t>2.</w:t>
      </w:r>
      <w:bookmarkStart w:id="129" w:name="_Hlk92732768"/>
      <w:r>
        <w:rPr>
          <w:rFonts w:hint="eastAsia"/>
        </w:rPr>
        <w:t>未来劳动力产业部门转移将进一步加速</w:t>
      </w:r>
      <w:bookmarkEnd w:id="128"/>
      <w:bookmarkEnd w:id="129"/>
    </w:p>
    <w:p w14:paraId="20ECA2E1"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技术发展不会导致大规模失业，但是会对劳动力就业结构产生重要影响，使得劳动者在不同行业间进行转移。未来我国劳动力就业将加快由农业、制造业向服务业转移。</w:t>
      </w:r>
    </w:p>
    <w:p w14:paraId="31314DE8"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从产业整体发展趋势来看，第三产业日益成为国民经济的主导产业，也将成为吸纳劳动力的主要产业。我国就业人员近年来加速向第三产业转移，劳动力占比从</w:t>
      </w:r>
      <w:r>
        <w:rPr>
          <w:rFonts w:eastAsia="宋体" w:cs="Times New Roman" w:hint="eastAsia"/>
          <w:sz w:val="24"/>
          <w:szCs w:val="24"/>
        </w:rPr>
        <w:t>1978</w:t>
      </w:r>
      <w:r>
        <w:rPr>
          <w:rFonts w:eastAsia="宋体" w:cs="Times New Roman" w:hint="eastAsia"/>
          <w:sz w:val="24"/>
          <w:szCs w:val="24"/>
        </w:rPr>
        <w:t>年的</w:t>
      </w:r>
      <w:r>
        <w:rPr>
          <w:rFonts w:eastAsia="宋体" w:cs="Times New Roman" w:hint="eastAsia"/>
          <w:sz w:val="24"/>
          <w:szCs w:val="24"/>
        </w:rPr>
        <w:t>12.2%</w:t>
      </w:r>
      <w:r>
        <w:rPr>
          <w:rFonts w:eastAsia="宋体" w:cs="Times New Roman" w:hint="eastAsia"/>
          <w:sz w:val="24"/>
          <w:szCs w:val="24"/>
        </w:rPr>
        <w:t>提升至</w:t>
      </w:r>
      <w:r>
        <w:rPr>
          <w:rFonts w:eastAsia="宋体" w:cs="Times New Roman" w:hint="eastAsia"/>
          <w:sz w:val="24"/>
          <w:szCs w:val="24"/>
        </w:rPr>
        <w:t>2019</w:t>
      </w:r>
      <w:r>
        <w:rPr>
          <w:rFonts w:eastAsia="宋体" w:cs="Times New Roman" w:hint="eastAsia"/>
          <w:sz w:val="24"/>
          <w:szCs w:val="24"/>
        </w:rPr>
        <w:t>年的</w:t>
      </w:r>
      <w:r>
        <w:rPr>
          <w:rFonts w:eastAsia="宋体" w:cs="Times New Roman" w:hint="eastAsia"/>
          <w:sz w:val="24"/>
          <w:szCs w:val="24"/>
        </w:rPr>
        <w:t>47.4%</w:t>
      </w:r>
      <w:r>
        <w:rPr>
          <w:rFonts w:eastAsia="宋体" w:cs="Times New Roman" w:hint="eastAsia"/>
          <w:sz w:val="24"/>
          <w:szCs w:val="24"/>
        </w:rPr>
        <w:t>，且增速持续上升。</w:t>
      </w:r>
    </w:p>
    <w:p w14:paraId="4B8691A6"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从技术发展影响来看，一方面，农业、制造业程式化、标准化的劳动内容更容易被机器替代，且其替代程度将随着机器人的技术深化和应用泛化不断提升，形成就业</w:t>
      </w:r>
      <w:r>
        <w:rPr>
          <w:rFonts w:eastAsia="宋体" w:cs="Times New Roman" w:hint="eastAsia"/>
          <w:sz w:val="24"/>
          <w:szCs w:val="24"/>
        </w:rPr>
        <w:lastRenderedPageBreak/>
        <w:t>部门转移的“推力”。另一方面，人工智能的应用和发展会创造一些全新的工作岗位，提供更多就业机会，而这些新的岗位相当程度商出现在服务业行业。而服务业也成为了以共享经济、平台经济为代表的“互联网</w:t>
      </w:r>
      <w:r>
        <w:rPr>
          <w:rFonts w:eastAsia="宋体" w:cs="Times New Roman" w:hint="eastAsia"/>
          <w:sz w:val="24"/>
          <w:szCs w:val="24"/>
        </w:rPr>
        <w:t>+</w:t>
      </w:r>
      <w:r>
        <w:rPr>
          <w:rFonts w:eastAsia="宋体" w:cs="Times New Roman" w:hint="eastAsia"/>
          <w:sz w:val="24"/>
          <w:szCs w:val="24"/>
        </w:rPr>
        <w:t>”新业态创新最为活跃、包容性就业吸纳额能力最强的领域，由此形成就业部门转移的“拉力”。</w:t>
      </w:r>
    </w:p>
    <w:p w14:paraId="048E7B61" w14:textId="77777777" w:rsidR="00602083" w:rsidRDefault="00E51994">
      <w:pPr>
        <w:pStyle w:val="4"/>
      </w:pPr>
      <w:bookmarkStart w:id="130" w:name="_Toc92734376"/>
      <w:r>
        <w:rPr>
          <w:rFonts w:hint="eastAsia"/>
        </w:rPr>
        <w:t>3.</w:t>
      </w:r>
      <w:bookmarkStart w:id="131" w:name="_Hlk92732774"/>
      <w:r>
        <w:rPr>
          <w:rFonts w:hint="eastAsia"/>
        </w:rPr>
        <w:t>数字人才培养将成为发展重点</w:t>
      </w:r>
      <w:bookmarkEnd w:id="130"/>
      <w:bookmarkEnd w:id="131"/>
    </w:p>
    <w:p w14:paraId="691FE531"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数字经济具有显著的“知识经济”特征，这对劳动力素质提出了更高要求，有效人才供给不足已经成为世界各国普遍面临的难题。据波士顿咨询公司《人工智能时代下的未来工作》调查显示，到</w:t>
      </w:r>
      <w:r>
        <w:rPr>
          <w:rFonts w:eastAsia="宋体" w:cs="Times New Roman" w:hint="eastAsia"/>
          <w:sz w:val="24"/>
          <w:szCs w:val="24"/>
        </w:rPr>
        <w:t>2030</w:t>
      </w:r>
      <w:r>
        <w:rPr>
          <w:rFonts w:eastAsia="宋体" w:cs="Times New Roman" w:hint="eastAsia"/>
          <w:sz w:val="24"/>
          <w:szCs w:val="24"/>
        </w:rPr>
        <w:t>年，美国在计算机和数学等关键行业的人才短缺高达</w:t>
      </w:r>
      <w:r>
        <w:rPr>
          <w:rFonts w:eastAsia="宋体" w:cs="Times New Roman" w:hint="eastAsia"/>
          <w:sz w:val="24"/>
          <w:szCs w:val="24"/>
        </w:rPr>
        <w:t>610</w:t>
      </w:r>
      <w:r>
        <w:rPr>
          <w:rFonts w:eastAsia="宋体" w:cs="Times New Roman" w:hint="eastAsia"/>
          <w:sz w:val="24"/>
          <w:szCs w:val="24"/>
        </w:rPr>
        <w:t>万人，建筑和工程人员短缺达</w:t>
      </w:r>
      <w:r>
        <w:rPr>
          <w:rFonts w:eastAsia="宋体" w:cs="Times New Roman" w:hint="eastAsia"/>
          <w:sz w:val="24"/>
          <w:szCs w:val="24"/>
        </w:rPr>
        <w:t>130</w:t>
      </w:r>
      <w:r>
        <w:rPr>
          <w:rFonts w:eastAsia="宋体" w:cs="Times New Roman" w:hint="eastAsia"/>
          <w:sz w:val="24"/>
          <w:szCs w:val="24"/>
        </w:rPr>
        <w:t>万人，白领工作将出现</w:t>
      </w:r>
      <w:r>
        <w:rPr>
          <w:rFonts w:eastAsia="宋体" w:cs="Times New Roman" w:hint="eastAsia"/>
          <w:sz w:val="24"/>
          <w:szCs w:val="24"/>
        </w:rPr>
        <w:t>300</w:t>
      </w:r>
      <w:r>
        <w:rPr>
          <w:rFonts w:eastAsia="宋体" w:cs="Times New Roman" w:hint="eastAsia"/>
          <w:sz w:val="24"/>
          <w:szCs w:val="24"/>
        </w:rPr>
        <w:t>万剩余岗位；德国计算机和数学人才短缺预计为</w:t>
      </w:r>
      <w:r>
        <w:rPr>
          <w:rFonts w:eastAsia="宋体" w:cs="Times New Roman" w:hint="eastAsia"/>
          <w:sz w:val="24"/>
          <w:szCs w:val="24"/>
        </w:rPr>
        <w:t>110</w:t>
      </w:r>
      <w:r>
        <w:rPr>
          <w:rFonts w:eastAsia="宋体" w:cs="Times New Roman" w:hint="eastAsia"/>
          <w:sz w:val="24"/>
          <w:szCs w:val="24"/>
        </w:rPr>
        <w:t>万人，而澳大利亚人才缺口为</w:t>
      </w:r>
      <w:r>
        <w:rPr>
          <w:rFonts w:eastAsia="宋体" w:cs="Times New Roman" w:hint="eastAsia"/>
          <w:sz w:val="24"/>
          <w:szCs w:val="24"/>
        </w:rPr>
        <w:t>33.3</w:t>
      </w:r>
      <w:r>
        <w:rPr>
          <w:rFonts w:eastAsia="宋体" w:cs="Times New Roman" w:hint="eastAsia"/>
          <w:sz w:val="24"/>
          <w:szCs w:val="24"/>
        </w:rPr>
        <w:t>万人</w:t>
      </w:r>
      <w:r>
        <w:rPr>
          <w:rFonts w:eastAsia="宋体" w:cs="Times New Roman"/>
          <w:sz w:val="24"/>
          <w:szCs w:val="24"/>
          <w:vertAlign w:val="superscript"/>
        </w:rPr>
        <w:t>[</w:t>
      </w:r>
      <w:r>
        <w:rPr>
          <w:rFonts w:eastAsia="宋体" w:cs="Times New Roman"/>
          <w:sz w:val="24"/>
          <w:szCs w:val="24"/>
          <w:vertAlign w:val="superscript"/>
        </w:rPr>
        <w:footnoteReference w:id="69"/>
      </w:r>
      <w:r>
        <w:rPr>
          <w:rFonts w:eastAsia="宋体" w:cs="Times New Roman"/>
          <w:sz w:val="24"/>
          <w:szCs w:val="24"/>
          <w:vertAlign w:val="superscript"/>
        </w:rPr>
        <w:t>]</w:t>
      </w:r>
      <w:r>
        <w:rPr>
          <w:rFonts w:eastAsia="宋体" w:cs="Times New Roman" w:hint="eastAsia"/>
          <w:sz w:val="24"/>
          <w:szCs w:val="24"/>
        </w:rPr>
        <w:t>。就我国情况而言，</w:t>
      </w:r>
      <w:r>
        <w:rPr>
          <w:rFonts w:eastAsia="宋体" w:cs="Times New Roman" w:hint="eastAsia"/>
          <w:sz w:val="24"/>
          <w:szCs w:val="24"/>
        </w:rPr>
        <w:t>2020</w:t>
      </w:r>
      <w:r>
        <w:rPr>
          <w:rFonts w:eastAsia="宋体" w:cs="Times New Roman" w:hint="eastAsia"/>
          <w:sz w:val="24"/>
          <w:szCs w:val="24"/>
        </w:rPr>
        <w:t>年数字化人才缺口去年接近</w:t>
      </w:r>
      <w:r>
        <w:rPr>
          <w:rFonts w:eastAsia="宋体" w:cs="Times New Roman" w:hint="eastAsia"/>
          <w:sz w:val="24"/>
          <w:szCs w:val="24"/>
        </w:rPr>
        <w:t>1100</w:t>
      </w:r>
      <w:r>
        <w:rPr>
          <w:rFonts w:eastAsia="宋体" w:cs="Times New Roman" w:hint="eastAsia"/>
          <w:sz w:val="24"/>
          <w:szCs w:val="24"/>
        </w:rPr>
        <w:t>万</w:t>
      </w:r>
      <w:r>
        <w:rPr>
          <w:rFonts w:eastAsia="宋体" w:cs="Times New Roman"/>
          <w:sz w:val="24"/>
          <w:szCs w:val="24"/>
          <w:vertAlign w:val="superscript"/>
        </w:rPr>
        <w:t>[</w:t>
      </w:r>
      <w:r>
        <w:rPr>
          <w:rFonts w:eastAsia="宋体" w:cs="Times New Roman"/>
          <w:sz w:val="24"/>
          <w:szCs w:val="24"/>
          <w:vertAlign w:val="superscript"/>
        </w:rPr>
        <w:footnoteReference w:id="70"/>
      </w:r>
      <w:bookmarkStart w:id="132" w:name="_Toc30842"/>
      <w:r>
        <w:rPr>
          <w:rFonts w:eastAsia="宋体" w:cs="Times New Roman"/>
          <w:sz w:val="24"/>
          <w:szCs w:val="24"/>
          <w:vertAlign w:val="superscript"/>
        </w:rPr>
        <w:t>]</w:t>
      </w:r>
      <w:r>
        <w:rPr>
          <w:rFonts w:eastAsia="宋体" w:cs="Times New Roman" w:hint="eastAsia"/>
          <w:sz w:val="24"/>
          <w:szCs w:val="24"/>
        </w:rPr>
        <w:t>，无论是高素质数字人才，还是技能型数字工人都普遍短缺。</w:t>
      </w:r>
    </w:p>
    <w:p w14:paraId="07A88868"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面向未来看，实现更加充分更高质量就业需要推动形成劳动力市场更高水平的供需动态平衡在多措并举创造更多高质量就业岗位的同时，也将着力解决持续凸显的结构性就业矛盾。国务院印发《“十四五”就业促进规划》提出，把技术技能人才培养培训放在更加突出的位置，着力改善劳动力要素质量，建设一支符合高质量发展要求、适应现代化经济体系、具备较高职业技能和道德素质、结构比较合理的劳动者队伍。顺应新一代技术革命和产业革命，增强适应数字经济发展的劳动力供给，将成为政策的发力点。</w:t>
      </w:r>
    </w:p>
    <w:p w14:paraId="6785BE11" w14:textId="77777777" w:rsidR="00602083" w:rsidRDefault="00E51994">
      <w:pPr>
        <w:pStyle w:val="4"/>
      </w:pPr>
      <w:bookmarkStart w:id="133" w:name="_Toc92734377"/>
      <w:r>
        <w:rPr>
          <w:rFonts w:hint="eastAsia"/>
        </w:rPr>
        <w:t>4.</w:t>
      </w:r>
      <w:bookmarkStart w:id="134" w:name="_Hlk92732781"/>
      <w:r>
        <w:rPr>
          <w:rFonts w:hint="eastAsia"/>
        </w:rPr>
        <w:t>就业形态与劳动关系变革将持续深化</w:t>
      </w:r>
      <w:bookmarkEnd w:id="133"/>
      <w:bookmarkEnd w:id="134"/>
    </w:p>
    <w:p w14:paraId="10D98C89"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综观历次工业革命，技术引致的生产力变革也将推动生产关系发生重要变化。工业革命使得</w:t>
      </w:r>
      <w:r>
        <w:rPr>
          <w:rFonts w:eastAsia="宋体" w:cs="Times New Roman"/>
          <w:sz w:val="24"/>
          <w:szCs w:val="24"/>
        </w:rPr>
        <w:t>大工厂制建立并成为最为普遍的生产组织形式</w:t>
      </w:r>
      <w:r>
        <w:rPr>
          <w:rFonts w:eastAsia="宋体" w:cs="Times New Roman" w:hint="eastAsia"/>
          <w:sz w:val="24"/>
          <w:szCs w:val="24"/>
        </w:rPr>
        <w:t>，形成了固定时间、固定地点、严格机理约束的标准就业形态</w:t>
      </w:r>
      <w:r>
        <w:rPr>
          <w:rFonts w:eastAsia="宋体" w:cs="Times New Roman"/>
          <w:sz w:val="24"/>
          <w:szCs w:val="24"/>
        </w:rPr>
        <w:t>。</w:t>
      </w:r>
      <w:r>
        <w:rPr>
          <w:rFonts w:eastAsia="宋体" w:cs="Times New Roman" w:hint="eastAsia"/>
          <w:sz w:val="24"/>
          <w:szCs w:val="24"/>
        </w:rPr>
        <w:t>但随着新一代信息革命的演进与发展，组织形态日趋网络化、平台化，也带来了用工方式、就业形态的转变。</w:t>
      </w:r>
    </w:p>
    <w:p w14:paraId="04F12F00"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一方面，传统就业形态是雇主和劳动者的直接联系，但如今往往是基于网络实现劳动市场供需双方的匹配连接、劳动交付，两方关系转变为三方关系；另一方面，不同于传统就业形态下劳动者与组织之间连接紧密、从属性突出的劳动关系，新就业形</w:t>
      </w:r>
      <w:r>
        <w:rPr>
          <w:rFonts w:eastAsia="宋体" w:cs="Times New Roman" w:hint="eastAsia"/>
          <w:sz w:val="24"/>
          <w:szCs w:val="24"/>
        </w:rPr>
        <w:lastRenderedPageBreak/>
        <w:t>态具有更强的灵活性，劳动者可以不受雇主工作时间、地点、任务量的约束。由此产生了众包就业、网络就业、分时就业等多种新型就业形态，劳动关系也更加多样复杂。</w:t>
      </w:r>
    </w:p>
    <w:p w14:paraId="33A4D490" w14:textId="77777777" w:rsidR="00602083" w:rsidRDefault="00E51994">
      <w:pPr>
        <w:adjustRightInd w:val="0"/>
        <w:spacing w:line="360" w:lineRule="auto"/>
        <w:ind w:firstLine="480"/>
        <w:rPr>
          <w:rFonts w:eastAsia="宋体"/>
          <w:kern w:val="0"/>
          <w:sz w:val="24"/>
          <w:szCs w:val="24"/>
          <w:lang w:eastAsia="zh-Hans"/>
        </w:rPr>
      </w:pPr>
      <w:r>
        <w:rPr>
          <w:rFonts w:eastAsia="宋体" w:hint="eastAsia"/>
          <w:kern w:val="0"/>
          <w:sz w:val="24"/>
          <w:szCs w:val="24"/>
          <w:lang w:eastAsia="zh-Hans"/>
        </w:rPr>
        <w:t>与此同时</w:t>
      </w:r>
      <w:r>
        <w:rPr>
          <w:rFonts w:eastAsia="宋体"/>
          <w:kern w:val="0"/>
          <w:sz w:val="24"/>
          <w:szCs w:val="24"/>
          <w:lang w:eastAsia="zh-Hans"/>
        </w:rPr>
        <w:t>，</w:t>
      </w:r>
      <w:r>
        <w:rPr>
          <w:rFonts w:eastAsia="宋体" w:hint="eastAsia"/>
          <w:kern w:val="0"/>
          <w:sz w:val="24"/>
          <w:szCs w:val="24"/>
          <w:lang w:eastAsia="zh-Hans"/>
        </w:rPr>
        <w:t>城镇化不断深化</w:t>
      </w:r>
      <w:r>
        <w:rPr>
          <w:rFonts w:eastAsia="宋体"/>
          <w:kern w:val="0"/>
          <w:sz w:val="24"/>
          <w:szCs w:val="24"/>
          <w:lang w:eastAsia="zh-Hans"/>
        </w:rPr>
        <w:t>、</w:t>
      </w:r>
      <w:r>
        <w:rPr>
          <w:rFonts w:eastAsia="宋体" w:hint="eastAsia"/>
          <w:kern w:val="0"/>
          <w:sz w:val="24"/>
          <w:szCs w:val="24"/>
          <w:lang w:eastAsia="zh-Hans"/>
        </w:rPr>
        <w:t>促进生育政策全面实施</w:t>
      </w:r>
      <w:r>
        <w:rPr>
          <w:rFonts w:eastAsia="宋体"/>
          <w:kern w:val="0"/>
          <w:sz w:val="24"/>
          <w:szCs w:val="24"/>
          <w:lang w:eastAsia="zh-Hans"/>
        </w:rPr>
        <w:t>、</w:t>
      </w:r>
      <w:r>
        <w:rPr>
          <w:rFonts w:eastAsia="宋体" w:hint="eastAsia"/>
          <w:kern w:val="0"/>
          <w:sz w:val="24"/>
          <w:szCs w:val="24"/>
          <w:lang w:eastAsia="zh-Hans"/>
        </w:rPr>
        <w:t>千禧一代渐成社会重点就业群体的社会背景也会进一步促进新型就业规模的发展壮大</w:t>
      </w:r>
      <w:r>
        <w:rPr>
          <w:rFonts w:eastAsia="宋体"/>
          <w:kern w:val="0"/>
          <w:sz w:val="24"/>
          <w:szCs w:val="24"/>
          <w:lang w:eastAsia="zh-Hans"/>
        </w:rPr>
        <w:t>。</w:t>
      </w:r>
      <w:r>
        <w:rPr>
          <w:rFonts w:eastAsia="宋体" w:hint="eastAsia"/>
          <w:kern w:val="0"/>
          <w:sz w:val="24"/>
          <w:szCs w:val="24"/>
          <w:lang w:eastAsia="zh-Hans"/>
        </w:rPr>
        <w:t>新型就业形式具有较强的包容性特征</w:t>
      </w:r>
      <w:r>
        <w:rPr>
          <w:rFonts w:eastAsia="宋体"/>
          <w:kern w:val="0"/>
          <w:sz w:val="24"/>
          <w:szCs w:val="24"/>
          <w:lang w:eastAsia="zh-Hans"/>
        </w:rPr>
        <w:t>，</w:t>
      </w:r>
      <w:r>
        <w:rPr>
          <w:rFonts w:eastAsia="宋体" w:hint="eastAsia"/>
          <w:kern w:val="0"/>
          <w:sz w:val="24"/>
          <w:szCs w:val="24"/>
          <w:lang w:eastAsia="zh-Hans"/>
        </w:rPr>
        <w:t>工作内容多元</w:t>
      </w:r>
      <w:r>
        <w:rPr>
          <w:rFonts w:eastAsia="宋体"/>
          <w:kern w:val="0"/>
          <w:sz w:val="24"/>
          <w:szCs w:val="24"/>
          <w:lang w:eastAsia="zh-Hans"/>
        </w:rPr>
        <w:t>、</w:t>
      </w:r>
      <w:r>
        <w:rPr>
          <w:rFonts w:eastAsia="宋体" w:hint="eastAsia"/>
          <w:kern w:val="0"/>
          <w:sz w:val="24"/>
          <w:szCs w:val="24"/>
          <w:lang w:eastAsia="zh-Hans"/>
        </w:rPr>
        <w:t>技能门槛低</w:t>
      </w:r>
      <w:r>
        <w:rPr>
          <w:rFonts w:eastAsia="宋体"/>
          <w:kern w:val="0"/>
          <w:sz w:val="24"/>
          <w:szCs w:val="24"/>
          <w:lang w:eastAsia="zh-Hans"/>
        </w:rPr>
        <w:t>、</w:t>
      </w:r>
      <w:r>
        <w:rPr>
          <w:rFonts w:eastAsia="宋体" w:hint="eastAsia"/>
          <w:kern w:val="0"/>
          <w:sz w:val="24"/>
          <w:szCs w:val="24"/>
          <w:lang w:eastAsia="zh-Hans"/>
        </w:rPr>
        <w:t>时间及地点更为灵活</w:t>
      </w:r>
      <w:r>
        <w:rPr>
          <w:rFonts w:eastAsia="宋体"/>
          <w:kern w:val="0"/>
          <w:sz w:val="24"/>
          <w:szCs w:val="24"/>
          <w:lang w:eastAsia="zh-Hans"/>
        </w:rPr>
        <w:t>，</w:t>
      </w:r>
      <w:r>
        <w:rPr>
          <w:rFonts w:eastAsia="宋体" w:hint="eastAsia"/>
          <w:kern w:val="0"/>
          <w:sz w:val="24"/>
          <w:szCs w:val="24"/>
          <w:lang w:eastAsia="zh-Hans"/>
        </w:rPr>
        <w:t>既能为进入城市务工的农民工群体提供进入门槛低</w:t>
      </w:r>
      <w:r>
        <w:rPr>
          <w:rFonts w:eastAsia="宋体"/>
          <w:kern w:val="0"/>
          <w:sz w:val="24"/>
          <w:szCs w:val="24"/>
          <w:lang w:eastAsia="zh-Hans"/>
        </w:rPr>
        <w:t>、</w:t>
      </w:r>
      <w:r>
        <w:rPr>
          <w:rFonts w:eastAsia="宋体" w:hint="eastAsia"/>
          <w:kern w:val="0"/>
          <w:sz w:val="24"/>
          <w:szCs w:val="24"/>
          <w:lang w:eastAsia="zh-Hans"/>
        </w:rPr>
        <w:t>选择更为自由的就业机会</w:t>
      </w:r>
      <w:r>
        <w:rPr>
          <w:rFonts w:eastAsia="宋体"/>
          <w:kern w:val="0"/>
          <w:sz w:val="24"/>
          <w:szCs w:val="24"/>
          <w:lang w:eastAsia="zh-Hans"/>
        </w:rPr>
        <w:t>，</w:t>
      </w:r>
      <w:r>
        <w:rPr>
          <w:rFonts w:eastAsia="宋体" w:hint="eastAsia"/>
          <w:kern w:val="0"/>
          <w:sz w:val="24"/>
          <w:szCs w:val="24"/>
          <w:lang w:eastAsia="zh-Hans"/>
        </w:rPr>
        <w:t>也能为需要兼顾家庭的多孩家庭提供了时段灵活的就业方式</w:t>
      </w:r>
      <w:r>
        <w:rPr>
          <w:rFonts w:eastAsia="宋体"/>
          <w:kern w:val="0"/>
          <w:sz w:val="24"/>
          <w:szCs w:val="24"/>
          <w:lang w:eastAsia="zh-Hans"/>
        </w:rPr>
        <w:t>。</w:t>
      </w:r>
      <w:r>
        <w:rPr>
          <w:rFonts w:eastAsia="宋体" w:hint="eastAsia"/>
          <w:kern w:val="0"/>
          <w:sz w:val="24"/>
          <w:szCs w:val="24"/>
          <w:lang w:eastAsia="zh-Hans"/>
        </w:rPr>
        <w:t>作为数字原住民的千禧一代</w:t>
      </w:r>
      <w:r>
        <w:rPr>
          <w:rFonts w:eastAsia="宋体"/>
          <w:kern w:val="0"/>
          <w:sz w:val="24"/>
          <w:szCs w:val="24"/>
          <w:lang w:eastAsia="zh-Hans"/>
        </w:rPr>
        <w:t>，</w:t>
      </w:r>
      <w:r>
        <w:rPr>
          <w:rFonts w:eastAsia="宋体" w:hint="eastAsia"/>
          <w:kern w:val="0"/>
          <w:sz w:val="24"/>
          <w:szCs w:val="24"/>
          <w:lang w:eastAsia="zh-Hans"/>
        </w:rPr>
        <w:t>对于“互联网</w:t>
      </w:r>
      <w:r>
        <w:rPr>
          <w:rFonts w:eastAsia="宋体"/>
          <w:kern w:val="0"/>
          <w:sz w:val="24"/>
          <w:szCs w:val="24"/>
          <w:lang w:eastAsia="zh-Hans"/>
        </w:rPr>
        <w:t>+</w:t>
      </w:r>
      <w:r>
        <w:rPr>
          <w:rFonts w:eastAsia="宋体" w:hint="eastAsia"/>
          <w:kern w:val="0"/>
          <w:sz w:val="24"/>
          <w:szCs w:val="24"/>
          <w:lang w:eastAsia="zh-Hans"/>
        </w:rPr>
        <w:t>”方式有着天然的行为惯性</w:t>
      </w:r>
      <w:r>
        <w:rPr>
          <w:rFonts w:eastAsia="宋体"/>
          <w:kern w:val="0"/>
          <w:sz w:val="24"/>
          <w:szCs w:val="24"/>
          <w:lang w:eastAsia="zh-Hans"/>
        </w:rPr>
        <w:t>，</w:t>
      </w:r>
      <w:r>
        <w:rPr>
          <w:rFonts w:eastAsia="宋体" w:hint="eastAsia"/>
          <w:kern w:val="0"/>
          <w:sz w:val="24"/>
          <w:szCs w:val="24"/>
          <w:lang w:eastAsia="zh-Hans"/>
        </w:rPr>
        <w:t>且崇尚自由个性的生活方式</w:t>
      </w:r>
      <w:r>
        <w:rPr>
          <w:rFonts w:eastAsia="宋体"/>
          <w:kern w:val="0"/>
          <w:sz w:val="24"/>
          <w:szCs w:val="24"/>
          <w:lang w:eastAsia="zh-Hans"/>
        </w:rPr>
        <w:t>，</w:t>
      </w:r>
      <w:r>
        <w:rPr>
          <w:rFonts w:eastAsia="宋体" w:hint="eastAsia"/>
          <w:kern w:val="0"/>
          <w:sz w:val="24"/>
          <w:szCs w:val="24"/>
          <w:lang w:eastAsia="zh-Hans"/>
        </w:rPr>
        <w:t>更乐于借助网络平台成为“斜杠青年”</w:t>
      </w:r>
      <w:r>
        <w:rPr>
          <w:rFonts w:eastAsia="宋体"/>
          <w:kern w:val="0"/>
          <w:sz w:val="24"/>
          <w:szCs w:val="24"/>
          <w:lang w:eastAsia="zh-Hans"/>
        </w:rPr>
        <w:t>，</w:t>
      </w:r>
      <w:r>
        <w:rPr>
          <w:rFonts w:eastAsia="宋体" w:hint="eastAsia"/>
          <w:kern w:val="0"/>
          <w:sz w:val="24"/>
          <w:szCs w:val="24"/>
          <w:lang w:eastAsia="zh-Hans"/>
        </w:rPr>
        <w:t>或自主创业创新</w:t>
      </w:r>
      <w:r>
        <w:rPr>
          <w:rFonts w:eastAsia="宋体"/>
          <w:kern w:val="0"/>
          <w:sz w:val="24"/>
          <w:szCs w:val="24"/>
          <w:lang w:eastAsia="zh-Hans"/>
        </w:rPr>
        <w:t>。</w:t>
      </w:r>
    </w:p>
    <w:p w14:paraId="557B6FAE" w14:textId="77777777" w:rsidR="00602083" w:rsidRDefault="00E51994">
      <w:pPr>
        <w:spacing w:line="360" w:lineRule="auto"/>
        <w:ind w:firstLine="480"/>
        <w:rPr>
          <w:rFonts w:eastAsia="宋体"/>
          <w:bCs/>
          <w:sz w:val="24"/>
          <w:szCs w:val="24"/>
        </w:rPr>
      </w:pPr>
      <w:r>
        <w:rPr>
          <w:rFonts w:eastAsia="宋体" w:hint="eastAsia"/>
          <w:sz w:val="24"/>
          <w:szCs w:val="24"/>
          <w:lang w:eastAsia="zh-Hans"/>
        </w:rPr>
        <w:t>因此</w:t>
      </w:r>
      <w:r>
        <w:rPr>
          <w:rFonts w:eastAsia="宋体"/>
          <w:sz w:val="24"/>
          <w:szCs w:val="24"/>
          <w:lang w:eastAsia="zh-Hans"/>
        </w:rPr>
        <w:t>，</w:t>
      </w:r>
      <w:r>
        <w:rPr>
          <w:rFonts w:eastAsia="宋体" w:hint="eastAsia"/>
          <w:sz w:val="24"/>
          <w:szCs w:val="24"/>
          <w:lang w:eastAsia="zh-Hans"/>
        </w:rPr>
        <w:t>随着的社会进步发展</w:t>
      </w:r>
      <w:r>
        <w:rPr>
          <w:rFonts w:eastAsia="宋体"/>
          <w:sz w:val="24"/>
          <w:szCs w:val="24"/>
          <w:lang w:eastAsia="zh-Hans"/>
        </w:rPr>
        <w:t>，</w:t>
      </w:r>
      <w:r>
        <w:rPr>
          <w:rFonts w:eastAsia="宋体" w:hint="eastAsia"/>
          <w:sz w:val="24"/>
          <w:szCs w:val="24"/>
          <w:lang w:eastAsia="zh-Hans"/>
        </w:rPr>
        <w:t>就业形态与劳动关系变革将持续深化</w:t>
      </w:r>
      <w:r>
        <w:rPr>
          <w:rFonts w:eastAsia="宋体"/>
          <w:sz w:val="24"/>
          <w:szCs w:val="24"/>
          <w:lang w:eastAsia="zh-Hans"/>
        </w:rPr>
        <w:t>。</w:t>
      </w:r>
      <w:r>
        <w:rPr>
          <w:rFonts w:eastAsia="宋体" w:hint="eastAsia"/>
          <w:sz w:val="24"/>
          <w:szCs w:val="24"/>
          <w:lang w:eastAsia="zh-Hans"/>
        </w:rPr>
        <w:t>除了</w:t>
      </w:r>
      <w:r>
        <w:rPr>
          <w:rFonts w:eastAsia="宋体" w:cs="Times New Roman" w:hint="eastAsia"/>
          <w:sz w:val="24"/>
          <w:szCs w:val="24"/>
          <w:lang w:eastAsia="zh-Hans"/>
        </w:rPr>
        <w:t>标准形态下的全日制用工之外</w:t>
      </w:r>
      <w:r>
        <w:rPr>
          <w:rFonts w:eastAsia="宋体" w:cs="Times New Roman"/>
          <w:sz w:val="24"/>
          <w:szCs w:val="24"/>
          <w:lang w:eastAsia="zh-Hans"/>
        </w:rPr>
        <w:t>，</w:t>
      </w:r>
      <w:r>
        <w:rPr>
          <w:rFonts w:eastAsia="宋体" w:cs="Times New Roman"/>
          <w:sz w:val="24"/>
          <w:szCs w:val="24"/>
        </w:rPr>
        <w:t>非全日制用工、多方雇佣关系、临时性雇佣等</w:t>
      </w:r>
      <w:r>
        <w:rPr>
          <w:rFonts w:eastAsia="宋体" w:cs="Times New Roman" w:hint="eastAsia"/>
          <w:sz w:val="24"/>
          <w:szCs w:val="24"/>
          <w:lang w:eastAsia="zh-Hans"/>
        </w:rPr>
        <w:t>多种关系类型将持续创新涌现</w:t>
      </w:r>
      <w:r>
        <w:rPr>
          <w:rFonts w:eastAsia="宋体" w:cs="Times New Roman"/>
          <w:sz w:val="24"/>
          <w:szCs w:val="24"/>
          <w:lang w:eastAsia="zh-Hans"/>
        </w:rPr>
        <w:t>，</w:t>
      </w:r>
      <w:r>
        <w:rPr>
          <w:rFonts w:eastAsia="宋体" w:cs="Times New Roman" w:hint="eastAsia"/>
          <w:sz w:val="24"/>
          <w:szCs w:val="24"/>
          <w:lang w:eastAsia="zh-Hans"/>
        </w:rPr>
        <w:t>新就业形态劳动者规模将不断发展壮大</w:t>
      </w:r>
      <w:r>
        <w:rPr>
          <w:rFonts w:eastAsia="宋体" w:cs="Times New Roman"/>
          <w:sz w:val="24"/>
          <w:szCs w:val="24"/>
        </w:rPr>
        <w:t>。</w:t>
      </w:r>
      <w:r>
        <w:rPr>
          <w:rFonts w:eastAsia="宋体" w:cs="Times New Roman" w:hint="eastAsia"/>
          <w:sz w:val="24"/>
          <w:szCs w:val="24"/>
          <w:lang w:eastAsia="zh-Hans"/>
        </w:rPr>
        <w:t>而我国劳动法</w:t>
      </w:r>
      <w:r>
        <w:rPr>
          <w:rFonts w:eastAsia="宋体" w:cs="Times New Roman"/>
          <w:sz w:val="24"/>
          <w:szCs w:val="24"/>
          <w:lang w:eastAsia="zh-Hans"/>
        </w:rPr>
        <w:t>、</w:t>
      </w:r>
      <w:r>
        <w:rPr>
          <w:rFonts w:eastAsia="宋体" w:cs="Times New Roman" w:hint="eastAsia"/>
          <w:sz w:val="24"/>
          <w:szCs w:val="24"/>
          <w:lang w:eastAsia="zh-Hans"/>
        </w:rPr>
        <w:t>社会保险法等政策体系是基于工业时代的标准制用工而制定</w:t>
      </w:r>
      <w:r>
        <w:rPr>
          <w:rFonts w:eastAsia="宋体" w:cs="Times New Roman"/>
          <w:sz w:val="24"/>
          <w:szCs w:val="24"/>
          <w:lang w:eastAsia="zh-Hans"/>
        </w:rPr>
        <w:t>，</w:t>
      </w:r>
      <w:r>
        <w:rPr>
          <w:rFonts w:eastAsia="宋体" w:cs="Times New Roman" w:hint="eastAsia"/>
          <w:sz w:val="24"/>
          <w:szCs w:val="24"/>
          <w:lang w:eastAsia="zh-Hans"/>
        </w:rPr>
        <w:t>因此新就业形态的变革将会对传统法律带来巨大的挑战</w:t>
      </w:r>
      <w:r>
        <w:rPr>
          <w:rFonts w:eastAsia="宋体" w:cs="Times New Roman"/>
          <w:sz w:val="24"/>
          <w:szCs w:val="24"/>
          <w:lang w:eastAsia="zh-Hans"/>
        </w:rPr>
        <w:t>。</w:t>
      </w:r>
      <w:r>
        <w:rPr>
          <w:rFonts w:eastAsia="宋体" w:cs="Times New Roman" w:hint="eastAsia"/>
          <w:sz w:val="24"/>
          <w:szCs w:val="24"/>
          <w:lang w:eastAsia="zh-Hans"/>
        </w:rPr>
        <w:t>新就业形态劳动者的身份如何认定</w:t>
      </w:r>
      <w:r>
        <w:rPr>
          <w:rFonts w:eastAsia="宋体" w:cs="Times New Roman"/>
          <w:sz w:val="24"/>
          <w:szCs w:val="24"/>
          <w:lang w:eastAsia="zh-Hans"/>
        </w:rPr>
        <w:t>、</w:t>
      </w:r>
      <w:r>
        <w:rPr>
          <w:rFonts w:eastAsia="宋体" w:cs="Times New Roman" w:hint="eastAsia"/>
          <w:sz w:val="24"/>
          <w:szCs w:val="24"/>
          <w:lang w:eastAsia="zh-Hans"/>
        </w:rPr>
        <w:t>劳动关系如何判别</w:t>
      </w:r>
      <w:r>
        <w:rPr>
          <w:rFonts w:eastAsia="宋体" w:cs="Times New Roman"/>
          <w:sz w:val="24"/>
          <w:szCs w:val="24"/>
          <w:lang w:eastAsia="zh-Hans"/>
        </w:rPr>
        <w:t>、</w:t>
      </w:r>
      <w:r>
        <w:rPr>
          <w:rFonts w:eastAsia="宋体" w:cs="Times New Roman" w:hint="eastAsia"/>
          <w:sz w:val="24"/>
          <w:szCs w:val="24"/>
          <w:lang w:eastAsia="zh-Hans"/>
        </w:rPr>
        <w:t>社会保障如何进行</w:t>
      </w:r>
      <w:r>
        <w:rPr>
          <w:rFonts w:eastAsia="宋体" w:cs="Times New Roman"/>
          <w:sz w:val="24"/>
          <w:szCs w:val="24"/>
          <w:lang w:eastAsia="zh-Hans"/>
        </w:rPr>
        <w:t>，</w:t>
      </w:r>
      <w:r>
        <w:rPr>
          <w:rFonts w:eastAsia="宋体" w:cs="Times New Roman" w:hint="eastAsia"/>
          <w:sz w:val="24"/>
          <w:szCs w:val="24"/>
          <w:lang w:eastAsia="zh-Hans"/>
        </w:rPr>
        <w:t>将成为政策的难点与重点</w:t>
      </w:r>
      <w:r>
        <w:rPr>
          <w:rFonts w:eastAsia="宋体" w:cs="Times New Roman"/>
          <w:sz w:val="24"/>
          <w:szCs w:val="24"/>
          <w:lang w:eastAsia="zh-Hans"/>
        </w:rPr>
        <w:t>。</w:t>
      </w:r>
    </w:p>
    <w:p w14:paraId="7B78381B" w14:textId="77777777" w:rsidR="00602083" w:rsidRDefault="00E51994">
      <w:pPr>
        <w:pStyle w:val="3"/>
        <w:spacing w:before="192" w:after="240"/>
        <w:ind w:firstLine="480"/>
      </w:pPr>
      <w:bookmarkStart w:id="135" w:name="_Toc92734378"/>
      <w:bookmarkStart w:id="136" w:name="_Toc93925284"/>
      <w:r>
        <w:t>（二）数字经济对收入分配影响的</w:t>
      </w:r>
      <w:r>
        <w:rPr>
          <w:rFonts w:hint="eastAsia"/>
        </w:rPr>
        <w:t>未来</w:t>
      </w:r>
      <w:r>
        <w:t>趋势</w:t>
      </w:r>
      <w:bookmarkEnd w:id="135"/>
      <w:bookmarkEnd w:id="136"/>
    </w:p>
    <w:p w14:paraId="4E0D521A" w14:textId="77777777" w:rsidR="00602083" w:rsidRDefault="00E51994">
      <w:pPr>
        <w:pStyle w:val="4"/>
      </w:pPr>
      <w:bookmarkStart w:id="137" w:name="_Toc92734379"/>
      <w:r>
        <w:rPr>
          <w:rFonts w:hint="eastAsia"/>
        </w:rPr>
        <w:t>1.</w:t>
      </w:r>
      <w:bookmarkStart w:id="138" w:name="_Hlk92732791"/>
      <w:r>
        <w:rPr>
          <w:rFonts w:hint="eastAsia"/>
        </w:rPr>
        <w:t>数字经济发展可能会普遍性地提高劳动者收入</w:t>
      </w:r>
      <w:bookmarkEnd w:id="137"/>
    </w:p>
    <w:bookmarkEnd w:id="138"/>
    <w:p w14:paraId="701397AB"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首先，数字经济的发展依赖前沿数字技术，数字技术的研发和创新应用者作为中高端人力资本，在劳动收入的提高中具备更多优势和可能，前文分析的</w:t>
      </w:r>
      <w:r>
        <w:rPr>
          <w:rFonts w:eastAsia="宋体" w:cs="Times New Roman" w:hint="eastAsia"/>
          <w:sz w:val="24"/>
          <w:szCs w:val="24"/>
        </w:rPr>
        <w:t>2015</w:t>
      </w:r>
      <w:r>
        <w:rPr>
          <w:rFonts w:eastAsia="宋体" w:cs="Times New Roman" w:hint="eastAsia"/>
          <w:sz w:val="24"/>
          <w:szCs w:val="24"/>
        </w:rPr>
        <w:t>年到</w:t>
      </w:r>
      <w:r>
        <w:rPr>
          <w:rFonts w:eastAsia="宋体" w:cs="Times New Roman" w:hint="eastAsia"/>
          <w:sz w:val="24"/>
          <w:szCs w:val="24"/>
        </w:rPr>
        <w:t>2019</w:t>
      </w:r>
      <w:r>
        <w:rPr>
          <w:rFonts w:eastAsia="宋体" w:cs="Times New Roman" w:hint="eastAsia"/>
          <w:sz w:val="24"/>
          <w:szCs w:val="24"/>
        </w:rPr>
        <w:t>年，以信息传输、软件和信息技术服务业为代表的数字经济收入增长幅度明显大于其他行业的现式就是一大证明。随着数字经济的向优向强向大发展，这部分从业人员面临更大的收入提高空间。</w:t>
      </w:r>
    </w:p>
    <w:p w14:paraId="3AAE6E5D"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其次，数字经济的发展过程中所创造出来的新就业岗位和灵活就业方式，以及相关岗位的低门槛将持续为原本的低收入、低技能群体创造收入。并且随着高技能群体的增加，将形成高技能群体和低技能群体的互补效应和人力资本外部性效应，进一步扩大参与到数字经济发展中的低技能群体的收入。新业态和新模式同样是吸收就业的重要途径，</w:t>
      </w:r>
      <w:r>
        <w:rPr>
          <w:rFonts w:eastAsia="宋体" w:cs="Times New Roman" w:hint="eastAsia"/>
          <w:sz w:val="24"/>
          <w:szCs w:val="24"/>
        </w:rPr>
        <w:t>2020</w:t>
      </w:r>
      <w:r>
        <w:rPr>
          <w:rFonts w:eastAsia="宋体" w:cs="Times New Roman" w:hint="eastAsia"/>
          <w:sz w:val="24"/>
          <w:szCs w:val="24"/>
        </w:rPr>
        <w:t>年，发改委高技术司就曾出台《关于支持新业态新模式健康发展激活消费市场带动扩大就业的意见》鼓励业态模式创新，提升新业态新模式对就业的吸纳能力。</w:t>
      </w:r>
    </w:p>
    <w:p w14:paraId="50CCA759"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lastRenderedPageBreak/>
        <w:t>最后，数字经济的发展所带来的生产效率的提高，有利于劳动者收入的普遍提升。以产业数字化为例，工农商等范围内的企业在应用数字化管理手段、数字化生产方式之后，对生产效率带来正向激励，提升了单位劳动力的产出水平，引致了单位劳动力收入水平的提升。</w:t>
      </w:r>
    </w:p>
    <w:p w14:paraId="563CD8B3" w14:textId="77777777" w:rsidR="00602083" w:rsidRDefault="00E51994">
      <w:pPr>
        <w:pStyle w:val="4"/>
      </w:pPr>
      <w:bookmarkStart w:id="139" w:name="_Toc92734380"/>
      <w:r>
        <w:rPr>
          <w:rFonts w:hint="eastAsia"/>
        </w:rPr>
        <w:t>2.</w:t>
      </w:r>
      <w:bookmarkStart w:id="140" w:name="_Hlk92732800"/>
      <w:r>
        <w:rPr>
          <w:rFonts w:hint="eastAsia"/>
        </w:rPr>
        <w:t>数字经济发展可能会降低劳动要素在收入分配中的比例</w:t>
      </w:r>
      <w:bookmarkEnd w:id="139"/>
      <w:bookmarkEnd w:id="140"/>
    </w:p>
    <w:p w14:paraId="77521CEC"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数字经济的发展实现了资本和技术对劳动的替代，从要素收入分配的角度来看，资本和技术在整体收入分配中表现出明显的优势，例如“机器替人”自动化和半自动化的生产方式，虽然会提升劳动力的平均收入水平，但是减少了对劳动力的需求数量，从而减少了劳动力的整体分配比例。另一种趋势来源于数据要素的价值化，</w:t>
      </w:r>
      <w:r>
        <w:rPr>
          <w:rFonts w:eastAsia="宋体" w:cs="Times New Roman" w:hint="eastAsia"/>
          <w:sz w:val="24"/>
          <w:szCs w:val="24"/>
        </w:rPr>
        <w:t>2020</w:t>
      </w:r>
      <w:r>
        <w:rPr>
          <w:rFonts w:eastAsia="宋体" w:cs="Times New Roman" w:hint="eastAsia"/>
          <w:sz w:val="24"/>
          <w:szCs w:val="24"/>
        </w:rPr>
        <w:t>年出台的《关于构建更加完善的要素市场化配置体制机制的意见》明确将数据要素作为生产要素之一，数据要素在价值化之后，必然参与收入分配，而当数据要素主要被掌握在大型的互联网企业和平台公司之后，数据要素的收入分配到了这些头部企业，这进一步压缩了劳动要素在分配中的比例。</w:t>
      </w:r>
    </w:p>
    <w:p w14:paraId="242C7808" w14:textId="77777777" w:rsidR="00602083" w:rsidRDefault="00E51994">
      <w:pPr>
        <w:pStyle w:val="4"/>
      </w:pPr>
      <w:bookmarkStart w:id="141" w:name="_Toc92734381"/>
      <w:r>
        <w:rPr>
          <w:rFonts w:hint="eastAsia"/>
        </w:rPr>
        <w:t>3.</w:t>
      </w:r>
      <w:bookmarkStart w:id="142" w:name="_Hlk92732810"/>
      <w:r>
        <w:rPr>
          <w:rFonts w:hint="eastAsia"/>
        </w:rPr>
        <w:t>数字经济发展可能会扩大不同区域之间的收入差距</w:t>
      </w:r>
      <w:bookmarkEnd w:id="141"/>
      <w:bookmarkEnd w:id="142"/>
    </w:p>
    <w:p w14:paraId="59058CC4"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我国经济发展存在不平衡问题，数字经济发展也存在地区之间的发展不平衡，而且在不考虑国家干预的情况下，考虑到要素的集聚效应和自由流动，可能会呈现出持续扩大之势。以</w:t>
      </w:r>
      <w:r>
        <w:rPr>
          <w:rFonts w:eastAsia="宋体" w:cs="Times New Roman" w:hint="eastAsia"/>
          <w:sz w:val="24"/>
          <w:szCs w:val="24"/>
        </w:rPr>
        <w:t>2018</w:t>
      </w:r>
      <w:r>
        <w:rPr>
          <w:rFonts w:eastAsia="宋体" w:cs="Times New Roman" w:hint="eastAsia"/>
          <w:sz w:val="24"/>
          <w:szCs w:val="24"/>
        </w:rPr>
        <w:t>年数据为例，珠三角地区数字经济占比高达</w:t>
      </w:r>
      <w:r>
        <w:rPr>
          <w:rFonts w:eastAsia="宋体" w:cs="Times New Roman" w:hint="eastAsia"/>
          <w:sz w:val="24"/>
          <w:szCs w:val="24"/>
        </w:rPr>
        <w:t>44.3%</w:t>
      </w:r>
      <w:r>
        <w:rPr>
          <w:rFonts w:eastAsia="宋体" w:cs="Times New Roman" w:hint="eastAsia"/>
          <w:sz w:val="24"/>
          <w:szCs w:val="24"/>
        </w:rPr>
        <w:t>，长三角地区和京津冀地区分别为</w:t>
      </w:r>
      <w:r>
        <w:rPr>
          <w:rFonts w:eastAsia="宋体" w:cs="Times New Roman" w:hint="eastAsia"/>
          <w:sz w:val="24"/>
          <w:szCs w:val="24"/>
        </w:rPr>
        <w:t>40.9%</w:t>
      </w:r>
      <w:r>
        <w:rPr>
          <w:rFonts w:eastAsia="宋体" w:cs="Times New Roman" w:hint="eastAsia"/>
          <w:sz w:val="24"/>
          <w:szCs w:val="24"/>
        </w:rPr>
        <w:t>和</w:t>
      </w:r>
      <w:r>
        <w:rPr>
          <w:rFonts w:eastAsia="宋体" w:cs="Times New Roman" w:hint="eastAsia"/>
          <w:sz w:val="24"/>
          <w:szCs w:val="24"/>
        </w:rPr>
        <w:t>40.7%</w:t>
      </w:r>
      <w:r>
        <w:rPr>
          <w:rFonts w:eastAsia="宋体" w:cs="Times New Roman" w:hint="eastAsia"/>
          <w:sz w:val="24"/>
          <w:szCs w:val="24"/>
        </w:rPr>
        <w:t>，而东北老工业基地和西北地区数字经济占比仅为</w:t>
      </w:r>
      <w:r>
        <w:rPr>
          <w:rFonts w:eastAsia="宋体" w:cs="Times New Roman" w:hint="eastAsia"/>
          <w:sz w:val="24"/>
          <w:szCs w:val="24"/>
        </w:rPr>
        <w:t>28.2%</w:t>
      </w:r>
      <w:r>
        <w:rPr>
          <w:rFonts w:eastAsia="宋体" w:cs="Times New Roman" w:hint="eastAsia"/>
          <w:sz w:val="24"/>
          <w:szCs w:val="24"/>
        </w:rPr>
        <w:t>和</w:t>
      </w:r>
      <w:r>
        <w:rPr>
          <w:rFonts w:eastAsia="宋体" w:cs="Times New Roman" w:hint="eastAsia"/>
          <w:sz w:val="24"/>
          <w:szCs w:val="24"/>
        </w:rPr>
        <w:t>25.6%</w:t>
      </w:r>
      <w:r>
        <w:rPr>
          <w:rFonts w:eastAsia="宋体" w:cs="Times New Roman" w:hint="eastAsia"/>
          <w:sz w:val="24"/>
          <w:szCs w:val="24"/>
        </w:rPr>
        <w:t>，显然，数字经济发展的差异会加大区域不平衡和收入分配不平等</w:t>
      </w:r>
      <w:r>
        <w:rPr>
          <w:rFonts w:eastAsia="宋体" w:cs="Times New Roman"/>
          <w:sz w:val="24"/>
          <w:szCs w:val="24"/>
          <w:vertAlign w:val="superscript"/>
        </w:rPr>
        <w:t>[</w:t>
      </w:r>
      <w:r>
        <w:rPr>
          <w:rFonts w:eastAsia="宋体" w:cs="Times New Roman"/>
          <w:sz w:val="24"/>
          <w:szCs w:val="24"/>
          <w:vertAlign w:val="superscript"/>
        </w:rPr>
        <w:footnoteReference w:id="71"/>
      </w:r>
      <w:r>
        <w:rPr>
          <w:rFonts w:eastAsia="宋体" w:cs="Times New Roman"/>
          <w:sz w:val="24"/>
          <w:szCs w:val="24"/>
          <w:vertAlign w:val="superscript"/>
        </w:rPr>
        <w:t>]</w:t>
      </w:r>
      <w:r>
        <w:rPr>
          <w:rFonts w:eastAsia="宋体" w:cs="Times New Roman" w:hint="eastAsia"/>
          <w:sz w:val="24"/>
          <w:szCs w:val="24"/>
        </w:rPr>
        <w:t>。目前已有的国家政策缩小区域之间的数字鸿沟和数字经济发展差距，例如在数据中心的布局上，进行了全国空间范围的统筹考虑，在中西部地区布局了智算中心、超算中心等数字基础设施，布局了区域数据中心节点，在国家级大数据综合实验区的选取上，考虑了贵州、重庆、河南、沈阳等中西部和东北城市地区。这在一定程度上，对于数字经济发展扩大地区差距有一定的缓解作用。</w:t>
      </w:r>
    </w:p>
    <w:p w14:paraId="44F62E71" w14:textId="77777777" w:rsidR="00602083" w:rsidRDefault="00E51994">
      <w:pPr>
        <w:pStyle w:val="2"/>
        <w:ind w:firstLine="480"/>
        <w:rPr>
          <w:b/>
        </w:rPr>
      </w:pPr>
      <w:bookmarkStart w:id="143" w:name="_Toc92734382"/>
      <w:bookmarkStart w:id="144" w:name="_Toc93925285"/>
      <w:bookmarkStart w:id="145" w:name="_Toc93841285"/>
      <w:r>
        <w:rPr>
          <w:rFonts w:hint="eastAsia"/>
        </w:rPr>
        <w:t>六、发展</w:t>
      </w:r>
      <w:r>
        <w:t>数字经济完善就业与收入分配格局的政策建议</w:t>
      </w:r>
      <w:bookmarkEnd w:id="132"/>
      <w:bookmarkEnd w:id="143"/>
      <w:bookmarkEnd w:id="144"/>
      <w:bookmarkEnd w:id="145"/>
    </w:p>
    <w:p w14:paraId="33608CD4" w14:textId="77777777" w:rsidR="00602083" w:rsidRDefault="00E51994">
      <w:pPr>
        <w:spacing w:line="360" w:lineRule="auto"/>
        <w:ind w:firstLine="480"/>
        <w:rPr>
          <w:rFonts w:eastAsia="宋体" w:cs="Times New Roman"/>
          <w:sz w:val="24"/>
          <w:szCs w:val="24"/>
        </w:rPr>
      </w:pPr>
      <w:r>
        <w:rPr>
          <w:rFonts w:eastAsia="宋体" w:cs="Times New Roman"/>
          <w:sz w:val="24"/>
          <w:szCs w:val="24"/>
        </w:rPr>
        <w:t>习近平总书记指出，坚持在经济增长的同时实现居民收入同步增长，在劳动生产率提高的同时实现劳动报酬同步提高。高质量增长和高质量就业将成为我国未来发</w:t>
      </w:r>
      <w:r>
        <w:rPr>
          <w:rFonts w:eastAsia="宋体" w:cs="Times New Roman"/>
          <w:sz w:val="24"/>
          <w:szCs w:val="24"/>
        </w:rPr>
        <w:lastRenderedPageBreak/>
        <w:t>展的主旋律。要进一步释放数字经济的巨大潜力，以高质量增长带动高质量就业，以高质量就业支撑高质量增长，构建更为合理、有效、公平的收入分配格局，在经济社会创新发展中实现全体人民的</w:t>
      </w:r>
      <w:r>
        <w:rPr>
          <w:rFonts w:eastAsia="宋体" w:cs="Times New Roman"/>
          <w:sz w:val="24"/>
          <w:szCs w:val="24"/>
        </w:rPr>
        <w:t>“</w:t>
      </w:r>
      <w:r>
        <w:rPr>
          <w:rFonts w:eastAsia="宋体" w:cs="Times New Roman"/>
          <w:sz w:val="24"/>
          <w:szCs w:val="24"/>
        </w:rPr>
        <w:t>共同富裕</w:t>
      </w:r>
      <w:r>
        <w:rPr>
          <w:rFonts w:eastAsia="宋体" w:cs="Times New Roman"/>
          <w:sz w:val="24"/>
          <w:szCs w:val="24"/>
        </w:rPr>
        <w:t>”</w:t>
      </w:r>
      <w:r>
        <w:rPr>
          <w:rFonts w:eastAsia="宋体" w:cs="Times New Roman"/>
          <w:sz w:val="24"/>
          <w:szCs w:val="24"/>
        </w:rPr>
        <w:t>。</w:t>
      </w:r>
    </w:p>
    <w:p w14:paraId="1A076A73" w14:textId="77777777" w:rsidR="00602083" w:rsidRDefault="00E51994">
      <w:pPr>
        <w:pStyle w:val="3"/>
        <w:spacing w:before="192" w:after="240"/>
        <w:ind w:firstLine="480"/>
      </w:pPr>
      <w:bookmarkStart w:id="146" w:name="_Toc22375"/>
      <w:bookmarkStart w:id="147" w:name="_Toc93925286"/>
      <w:bookmarkStart w:id="148" w:name="_Toc92734383"/>
      <w:r>
        <w:t>（一）建立符合数字经济规律的就业体系</w:t>
      </w:r>
      <w:bookmarkEnd w:id="146"/>
      <w:bookmarkEnd w:id="147"/>
      <w:bookmarkEnd w:id="148"/>
    </w:p>
    <w:p w14:paraId="298B718E" w14:textId="77777777" w:rsidR="00602083" w:rsidRDefault="00E51994">
      <w:pPr>
        <w:spacing w:line="360" w:lineRule="auto"/>
        <w:ind w:firstLine="480"/>
        <w:rPr>
          <w:rFonts w:eastAsia="宋体" w:cs="Times New Roman"/>
          <w:sz w:val="24"/>
          <w:szCs w:val="24"/>
        </w:rPr>
      </w:pPr>
      <w:r>
        <w:rPr>
          <w:rFonts w:eastAsia="宋体" w:cs="Times New Roman"/>
          <w:sz w:val="24"/>
          <w:szCs w:val="24"/>
        </w:rPr>
        <w:t>构建适应新时代劳动变革的灵活从业群体权益保障机制，既要保障劳动者权益，也要保障企业创新活力。一方面，推动劳动立法创新。一是对标国际、突破创新，借鉴英、德、加拿大等国家的立法思路，突破传统</w:t>
      </w:r>
      <w:r>
        <w:rPr>
          <w:rFonts w:eastAsia="宋体" w:cs="Times New Roman" w:hint="eastAsia"/>
          <w:sz w:val="24"/>
          <w:szCs w:val="24"/>
        </w:rPr>
        <w:t>“</w:t>
      </w:r>
      <w:r>
        <w:rPr>
          <w:rFonts w:eastAsia="宋体" w:cs="Times New Roman"/>
          <w:sz w:val="24"/>
          <w:szCs w:val="24"/>
        </w:rPr>
        <w:t>劳动二分法</w:t>
      </w:r>
      <w:r>
        <w:rPr>
          <w:rFonts w:eastAsia="宋体" w:cs="Times New Roman" w:hint="eastAsia"/>
          <w:sz w:val="24"/>
          <w:szCs w:val="24"/>
        </w:rPr>
        <w:t>”</w:t>
      </w:r>
      <w:r>
        <w:rPr>
          <w:rFonts w:eastAsia="宋体" w:cs="Times New Roman"/>
          <w:sz w:val="24"/>
          <w:szCs w:val="24"/>
        </w:rPr>
        <w:t>立法思路，基于经济从属性认定，探索完善</w:t>
      </w:r>
      <w:bookmarkStart w:id="149" w:name="_Hlk92704017"/>
      <w:r>
        <w:rPr>
          <w:rFonts w:eastAsia="宋体" w:cs="Times New Roman" w:hint="eastAsia"/>
          <w:sz w:val="24"/>
          <w:szCs w:val="24"/>
        </w:rPr>
        <w:t>“</w:t>
      </w:r>
      <w:bookmarkEnd w:id="149"/>
      <w:r>
        <w:rPr>
          <w:rFonts w:eastAsia="宋体" w:cs="Times New Roman"/>
          <w:sz w:val="24"/>
          <w:szCs w:val="24"/>
        </w:rPr>
        <w:t>第三类劳动者</w:t>
      </w:r>
      <w:bookmarkStart w:id="150" w:name="_Hlk92704024"/>
      <w:r>
        <w:rPr>
          <w:rFonts w:eastAsia="宋体" w:cs="Times New Roman" w:hint="eastAsia"/>
          <w:sz w:val="24"/>
          <w:szCs w:val="24"/>
        </w:rPr>
        <w:t>”</w:t>
      </w:r>
      <w:bookmarkEnd w:id="150"/>
      <w:r>
        <w:rPr>
          <w:rFonts w:eastAsia="宋体" w:cs="Times New Roman"/>
          <w:sz w:val="24"/>
          <w:szCs w:val="24"/>
        </w:rPr>
        <w:t>的身份认定机制，将灵活就业者与平台之间的关系纳入立法体系中，为保护灵活就业者提供基本依据。二是宽严并济、有紧有松，切实加强对劳动者公平就业、最低工资、最长工时、安全与卫生、隐私和个人数据等方面的保护，在标准工时、社会保险缴费比例、解雇保护等方面探索更为弹性灵活的管理方式。</w:t>
      </w:r>
    </w:p>
    <w:p w14:paraId="65901BC4" w14:textId="77777777" w:rsidR="00602083" w:rsidRDefault="00E51994">
      <w:pPr>
        <w:spacing w:line="360" w:lineRule="auto"/>
        <w:ind w:firstLine="480"/>
        <w:rPr>
          <w:rFonts w:eastAsia="宋体" w:cs="Times New Roman"/>
          <w:sz w:val="24"/>
          <w:szCs w:val="24"/>
        </w:rPr>
      </w:pPr>
      <w:r>
        <w:rPr>
          <w:rFonts w:eastAsia="宋体" w:cs="Times New Roman"/>
          <w:sz w:val="24"/>
          <w:szCs w:val="24"/>
        </w:rPr>
        <w:t>另一方面，扩大社会保险覆盖范围。一是急用先行、重点突破，以社会各界关注度较高、灵活从业群体需求急迫的工伤保障为切口，建立用工单位缴纳和政府补贴相结合的职业伤害保障机制，在涉及面广、风险较大的出行、外卖、即配送、同城货运等领域优先推进，在财务实力相对雄厚的大型平台企业先行先试。二是分级分类、精准施策，根据用工平台类型、用工特点等确定平台企业的责任份额，如在职业伤害保障机制中，对于外卖、网约车、代驾等风险更高、平台与劳动者联结程度更为紧密的领域，对平台课以更高责任、承担主要缴费责任，而对于家政服务等平台仅仅发挥信息提供作用、不直接参与交易的领域，由灵活从业者承担主要缴费责任。</w:t>
      </w:r>
    </w:p>
    <w:p w14:paraId="64861D78" w14:textId="77777777" w:rsidR="00602083" w:rsidRDefault="00E51994">
      <w:pPr>
        <w:pStyle w:val="3"/>
        <w:spacing w:before="192" w:after="240"/>
        <w:ind w:firstLine="480"/>
      </w:pPr>
      <w:bookmarkStart w:id="151" w:name="_Toc92734384"/>
      <w:bookmarkStart w:id="152" w:name="_Toc4386"/>
      <w:bookmarkStart w:id="153" w:name="_Toc93925287"/>
      <w:r>
        <w:t>（二）打造</w:t>
      </w:r>
      <w:r>
        <w:rPr>
          <w:rFonts w:hint="eastAsia"/>
        </w:rPr>
        <w:t>动态高效</w:t>
      </w:r>
      <w:r>
        <w:t>的数字经济劳动市场</w:t>
      </w:r>
      <w:bookmarkEnd w:id="151"/>
      <w:bookmarkEnd w:id="152"/>
      <w:bookmarkEnd w:id="153"/>
    </w:p>
    <w:p w14:paraId="08257AAF" w14:textId="77777777" w:rsidR="00602083" w:rsidRDefault="00E51994">
      <w:pPr>
        <w:spacing w:line="360" w:lineRule="auto"/>
        <w:ind w:firstLine="480"/>
        <w:rPr>
          <w:rFonts w:eastAsia="宋体" w:cs="Times New Roman"/>
          <w:b/>
          <w:bCs/>
          <w:sz w:val="24"/>
          <w:szCs w:val="24"/>
        </w:rPr>
      </w:pPr>
      <w:r>
        <w:rPr>
          <w:rFonts w:eastAsia="宋体" w:cs="Times New Roman"/>
          <w:sz w:val="24"/>
          <w:szCs w:val="24"/>
        </w:rPr>
        <w:t>自然失业率虽然总是存在，但是，自然失业并不</w:t>
      </w:r>
      <w:r>
        <w:rPr>
          <w:rFonts w:eastAsia="宋体" w:cs="Times New Roman"/>
          <w:sz w:val="24"/>
          <w:szCs w:val="24"/>
        </w:rPr>
        <w:t>“</w:t>
      </w:r>
      <w:r>
        <w:rPr>
          <w:rFonts w:eastAsia="宋体" w:cs="Times New Roman"/>
          <w:sz w:val="24"/>
          <w:szCs w:val="24"/>
        </w:rPr>
        <w:t>自然</w:t>
      </w:r>
      <w:r>
        <w:rPr>
          <w:rFonts w:eastAsia="宋体" w:cs="Times New Roman"/>
          <w:sz w:val="24"/>
          <w:szCs w:val="24"/>
        </w:rPr>
        <w:t>”</w:t>
      </w:r>
      <w:r>
        <w:rPr>
          <w:rFonts w:eastAsia="宋体" w:cs="Times New Roman"/>
          <w:sz w:val="24"/>
          <w:szCs w:val="24"/>
        </w:rPr>
        <w:t>，其水平的高低往往事在人为。由于结构性和摩擦性失业分别表现为劳动者数量和技能在供需双方之间的不匹配。因此，需要着力提升劳动力市场的岗位对接效率和技能适配程度。一是加强就业形势监测分析</w:t>
      </w:r>
      <w:r>
        <w:rPr>
          <w:rFonts w:eastAsia="宋体" w:cs="Times New Roman"/>
          <w:sz w:val="24"/>
          <w:szCs w:val="24"/>
        </w:rPr>
        <w:t>,</w:t>
      </w:r>
      <w:r>
        <w:rPr>
          <w:rFonts w:eastAsia="宋体" w:cs="Times New Roman"/>
          <w:sz w:val="24"/>
          <w:szCs w:val="24"/>
        </w:rPr>
        <w:t>建立健全就业统计分析及动态监测体系，加强政务信息互联互通、推动政企数据共享对接，实现对劳动者就业状况的实时监测、精准判断、风险预警，及时防范劳动用工和失业风险。二是探索建立全国统一的劳务协作机制。搭建国家统一监测调度平台，打通省际间的劳务协作渠道，促进不同省区的企业用工、劳动力流</w:t>
      </w:r>
      <w:r>
        <w:rPr>
          <w:rFonts w:eastAsia="宋体" w:cs="Times New Roman"/>
          <w:sz w:val="24"/>
          <w:szCs w:val="24"/>
        </w:rPr>
        <w:lastRenderedPageBreak/>
        <w:t>向等数据共享共用，实现对劳动力资源的及时调配、就业服务的精准提供。三是加强失业或面临失业风险劳动者的技能培训。鼓励和支持大型制造企业建立数字技能培训制度和体系，通过干中学、转岗再就业等方式内部消化</w:t>
      </w:r>
      <w:r>
        <w:rPr>
          <w:rFonts w:eastAsia="宋体" w:cs="Times New Roman"/>
          <w:sz w:val="24"/>
          <w:szCs w:val="24"/>
        </w:rPr>
        <w:t>“</w:t>
      </w:r>
      <w:r>
        <w:rPr>
          <w:rFonts w:eastAsia="宋体" w:cs="Times New Roman"/>
          <w:sz w:val="24"/>
          <w:szCs w:val="24"/>
        </w:rPr>
        <w:t>机器换工</w:t>
      </w:r>
      <w:r>
        <w:rPr>
          <w:rFonts w:eastAsia="宋体" w:cs="Times New Roman"/>
          <w:sz w:val="24"/>
          <w:szCs w:val="24"/>
        </w:rPr>
        <w:t>”</w:t>
      </w:r>
      <w:r>
        <w:rPr>
          <w:rFonts w:eastAsia="宋体" w:cs="Times New Roman"/>
          <w:sz w:val="24"/>
          <w:szCs w:val="24"/>
        </w:rPr>
        <w:t>问题，引导被替代工人从事机器维修、保养等其他岗位；建立社会数字技能培训体系，使失业工人进入数据采集、数据标准、内容审核、云客服等就业门槛较低的数字经济岗位。</w:t>
      </w:r>
    </w:p>
    <w:p w14:paraId="20E0493E" w14:textId="77777777" w:rsidR="00602083" w:rsidRDefault="00E51994">
      <w:pPr>
        <w:pStyle w:val="3"/>
        <w:spacing w:before="192" w:after="240"/>
        <w:ind w:firstLine="480"/>
      </w:pPr>
      <w:bookmarkStart w:id="154" w:name="_Toc92734385"/>
      <w:bookmarkStart w:id="155" w:name="_Toc8025"/>
      <w:bookmarkStart w:id="156" w:name="_Toc93925288"/>
      <w:r>
        <w:t>（三）推动就业友好型数字经济发展</w:t>
      </w:r>
      <w:bookmarkEnd w:id="154"/>
      <w:bookmarkEnd w:id="155"/>
      <w:bookmarkEnd w:id="156"/>
    </w:p>
    <w:p w14:paraId="576695CE" w14:textId="77777777" w:rsidR="00602083" w:rsidRDefault="00E51994">
      <w:pPr>
        <w:spacing w:line="360" w:lineRule="auto"/>
        <w:ind w:firstLine="480"/>
        <w:rPr>
          <w:rFonts w:eastAsia="宋体" w:cs="Times New Roman"/>
          <w:b/>
          <w:bCs/>
          <w:sz w:val="24"/>
          <w:szCs w:val="24"/>
        </w:rPr>
      </w:pPr>
      <w:r>
        <w:rPr>
          <w:rFonts w:eastAsia="宋体" w:cs="Times New Roman"/>
          <w:sz w:val="24"/>
          <w:szCs w:val="24"/>
        </w:rPr>
        <w:t>数字经济虽然会对部分低技能构成替代作用，但其本质是对高度重复性、低附加值生产环节的劳动力释放，会在更高价值链释放更多新的岗位。因此应加快推动各行业数字化转型纵深发展，并推动产业链、创新链、培训链衔接融合，实现产业转型升级与劳动力技能结构适配互促。一是推进农业全产业链延伸和升级，促进农村一二三产业融合发展，开展高素质农民培育和家庭农场培育行动，在乡村振兴中带领农民共同致富。二是促进传统制造业数智化转型，加快推动企业上云用数赋智，建强产业链、提升价值链、优化培训链、衔接服务链，在提升国际竞争力中打造制造业就业新增长点。三是加快构建现代服务业体系，面向人民收入水平提升、人口结构老龄化、消费需求升级的社会发展趋势，着力开发家政服务、居家养老、健康看护等市场潜力大、技能门槛低的服务业就业空间；促进服务业线上线下双向联动、与农业制造业深度融合，推动生产性服务业和生活性服务业创新发展，在高品质和多样化升级中进一步释放服务业就业吸纳潜力。</w:t>
      </w:r>
    </w:p>
    <w:p w14:paraId="158DE837" w14:textId="77777777" w:rsidR="00602083" w:rsidRDefault="00E51994">
      <w:pPr>
        <w:pStyle w:val="3"/>
        <w:spacing w:before="192" w:after="240"/>
        <w:ind w:firstLine="480"/>
      </w:pPr>
      <w:bookmarkStart w:id="157" w:name="_Toc17839"/>
      <w:bookmarkStart w:id="158" w:name="_Toc92734386"/>
      <w:bookmarkStart w:id="159" w:name="_Toc93925289"/>
      <w:r>
        <w:t>（四）推动劳动者技能结构数字化</w:t>
      </w:r>
      <w:bookmarkEnd w:id="157"/>
      <w:bookmarkEnd w:id="158"/>
      <w:r>
        <w:rPr>
          <w:rFonts w:hint="eastAsia"/>
        </w:rPr>
        <w:t>转型</w:t>
      </w:r>
      <w:bookmarkEnd w:id="159"/>
    </w:p>
    <w:p w14:paraId="00123A6F" w14:textId="77777777" w:rsidR="00602083" w:rsidRDefault="00E51994">
      <w:pPr>
        <w:spacing w:line="360" w:lineRule="auto"/>
        <w:ind w:firstLine="480"/>
        <w:rPr>
          <w:rFonts w:eastAsia="宋体" w:cs="Times New Roman"/>
          <w:sz w:val="24"/>
          <w:szCs w:val="24"/>
        </w:rPr>
      </w:pPr>
      <w:r>
        <w:rPr>
          <w:rFonts w:eastAsia="宋体" w:cs="Times New Roman"/>
          <w:sz w:val="24"/>
          <w:szCs w:val="24"/>
        </w:rPr>
        <w:t>加快培养满足数字经济发展需要的技术知识人才和高素质劳动者，推动数字经济人才供给结构优化。一是深化高等教育改革，突破工业时代界限分明、相对孤立的学科分类体系，以推动数字经济创新的科学研究和人才培养为导向，构建跨领域、跨学科、跨平台的学科格局；促进计算机科学、数据分析与其他学科的交叉融合，扩大大数据、云计算、人工智能、物联网、区块链等数字人才培养规模；建立落后专业推出机制，加强对高校专业课程的动态评估，及时停招、缩招不适应技术和经济发展要求的专业。二是推动职业教育创新，深化产教融合、校企合作，引导行业企业同步制定与产业发展规划配套的人力资源开发方案并与职业院校相对接，提升院校布局、专业安排与产业发展的契合度；依托数字平台建立线上线下课时衔接、直播点播课程互</w:t>
      </w:r>
      <w:r>
        <w:rPr>
          <w:rFonts w:eastAsia="宋体" w:cs="Times New Roman"/>
          <w:sz w:val="24"/>
          <w:szCs w:val="24"/>
        </w:rPr>
        <w:lastRenderedPageBreak/>
        <w:t>补、知识技能跨界学习的灵活培训模式，针对不同工作类型丰富职业技能、创业指导、法律知识、职业道德、安全生产和职业卫生教育等培训内容，对开展灵活从业者职业培训的平台企业给予一定职业培训补贴。三是建立终身教育体系，打造面向公众的智能化终身学习公共服务平台，开发</w:t>
      </w:r>
      <w:r>
        <w:rPr>
          <w:rFonts w:eastAsia="宋体" w:cs="Times New Roman"/>
          <w:sz w:val="24"/>
          <w:szCs w:val="24"/>
        </w:rPr>
        <w:t>“</w:t>
      </w:r>
      <w:r>
        <w:rPr>
          <w:rFonts w:eastAsia="宋体" w:cs="Times New Roman"/>
          <w:sz w:val="24"/>
          <w:szCs w:val="24"/>
        </w:rPr>
        <w:t>数字通识课程</w:t>
      </w:r>
      <w:r>
        <w:rPr>
          <w:rFonts w:eastAsia="宋体" w:cs="Times New Roman"/>
          <w:sz w:val="24"/>
          <w:szCs w:val="24"/>
        </w:rPr>
        <w:t>”</w:t>
      </w:r>
      <w:r>
        <w:rPr>
          <w:rFonts w:eastAsia="宋体" w:cs="Times New Roman"/>
          <w:sz w:val="24"/>
          <w:szCs w:val="24"/>
        </w:rPr>
        <w:t>，提供大规模、个性化定制学习服务；探索建立终身学习学分银行，提供学习成果积累与转化服务。以全民数字素养的有效提升支撑数字经济的高质量发展。</w:t>
      </w:r>
    </w:p>
    <w:p w14:paraId="56586D7E" w14:textId="77777777" w:rsidR="00602083" w:rsidRDefault="00E51994">
      <w:pPr>
        <w:pStyle w:val="3"/>
        <w:spacing w:before="192" w:after="240"/>
        <w:ind w:firstLine="480"/>
      </w:pPr>
      <w:bookmarkStart w:id="160" w:name="_Toc5676"/>
      <w:bookmarkStart w:id="161" w:name="_Toc93925290"/>
      <w:bookmarkStart w:id="162" w:name="_Toc92734387"/>
      <w:r>
        <w:t>（五）建立多元协同的劳动</w:t>
      </w:r>
      <w:r>
        <w:rPr>
          <w:rFonts w:hint="eastAsia"/>
        </w:rPr>
        <w:t>权益</w:t>
      </w:r>
      <w:r>
        <w:t>保障体系</w:t>
      </w:r>
      <w:bookmarkEnd w:id="160"/>
      <w:bookmarkEnd w:id="161"/>
      <w:bookmarkEnd w:id="162"/>
    </w:p>
    <w:p w14:paraId="196D6B52" w14:textId="77777777" w:rsidR="00602083" w:rsidRDefault="00E51994">
      <w:pPr>
        <w:spacing w:line="360" w:lineRule="auto"/>
        <w:ind w:firstLine="480"/>
        <w:rPr>
          <w:rFonts w:eastAsia="宋体" w:cs="Times New Roman"/>
          <w:sz w:val="24"/>
          <w:szCs w:val="24"/>
        </w:rPr>
      </w:pPr>
      <w:r>
        <w:rPr>
          <w:rFonts w:eastAsia="宋体" w:cs="Times New Roman"/>
          <w:sz w:val="24"/>
          <w:szCs w:val="24"/>
        </w:rPr>
        <w:t>一方面，压实平台责任，明确用工单位在保障从业者劳动报酬、合理休息、社会保险、劳动安全等方面的责任；推动企业完善考核机制，遏制</w:t>
      </w:r>
      <w:r>
        <w:rPr>
          <w:rFonts w:eastAsia="宋体" w:cs="Times New Roman" w:hint="eastAsia"/>
          <w:sz w:val="24"/>
          <w:szCs w:val="24"/>
        </w:rPr>
        <w:t>“</w:t>
      </w:r>
      <w:r>
        <w:rPr>
          <w:rFonts w:eastAsia="宋体" w:cs="Times New Roman"/>
          <w:sz w:val="24"/>
          <w:szCs w:val="24"/>
        </w:rPr>
        <w:t>以罚代管</w:t>
      </w:r>
      <w:r>
        <w:rPr>
          <w:rFonts w:eastAsia="宋体" w:cs="Times New Roman" w:hint="eastAsia"/>
          <w:sz w:val="24"/>
          <w:szCs w:val="24"/>
        </w:rPr>
        <w:t>”</w:t>
      </w:r>
      <w:r>
        <w:rPr>
          <w:rFonts w:eastAsia="宋体" w:cs="Times New Roman"/>
          <w:sz w:val="24"/>
          <w:szCs w:val="24"/>
        </w:rPr>
        <w:t>，实行</w:t>
      </w:r>
      <w:r>
        <w:rPr>
          <w:rFonts w:eastAsia="宋体" w:cs="Times New Roman" w:hint="eastAsia"/>
          <w:sz w:val="24"/>
          <w:szCs w:val="24"/>
        </w:rPr>
        <w:t>“</w:t>
      </w:r>
      <w:r>
        <w:rPr>
          <w:rFonts w:eastAsia="宋体" w:cs="Times New Roman"/>
          <w:sz w:val="24"/>
          <w:szCs w:val="24"/>
        </w:rPr>
        <w:t>算法取中</w:t>
      </w:r>
      <w:r>
        <w:rPr>
          <w:rFonts w:eastAsia="宋体" w:cs="Times New Roman" w:hint="eastAsia"/>
          <w:sz w:val="24"/>
          <w:szCs w:val="24"/>
        </w:rPr>
        <w:t>”</w:t>
      </w:r>
      <w:r>
        <w:rPr>
          <w:rFonts w:eastAsia="宋体" w:cs="Times New Roman"/>
          <w:sz w:val="24"/>
          <w:szCs w:val="24"/>
        </w:rPr>
        <w:t>；应引导和支持灵活就业从业者者参与社会保险，鼓励企业为新就业形态劳动者购买人身意外、雇主责任等商业保险，强化从业者职业伤害保障；将落实从业者权益保障情况纳入行业诚信体系建设范畴。</w:t>
      </w:r>
    </w:p>
    <w:p w14:paraId="15BAE329" w14:textId="77777777" w:rsidR="00602083" w:rsidRDefault="00E51994">
      <w:pPr>
        <w:spacing w:line="360" w:lineRule="auto"/>
        <w:ind w:firstLine="480"/>
        <w:rPr>
          <w:rFonts w:eastAsia="宋体" w:cs="Times New Roman"/>
          <w:sz w:val="24"/>
          <w:szCs w:val="24"/>
        </w:rPr>
      </w:pPr>
      <w:r>
        <w:rPr>
          <w:rFonts w:eastAsia="宋体" w:cs="Times New Roman"/>
          <w:sz w:val="24"/>
          <w:szCs w:val="24"/>
        </w:rPr>
        <w:t>另一方面，发挥政府引领作用，动员工会、劳动调解组织、法律援助机构等各界力量，将劳动者权益保障纳入数字经济协同治理体系。积极吸纳新职业从业者加入各级工会组织，集中推动网约车、货运车、快递、外卖等重点行业依法普遍建立工会组织，通过单独建会、联合建会、行业建会、区域建会等多种方式扩大工会组织覆盖服务范围。建立新就业劳动者者集体协商机制，鼓励不同数字平台企业选出新职业从业者职工代表，与工会、行业协会、头部企业就行业计件单价、订单分配、抽成比例、劳动定额、报酬支付办法、进入退出平台规则、工作时间、休息休假、劳动保护、奖惩制度等开展协商，签订行业集体合同或协议。健全法律援助和争议调处机制，探索将互联网平台的灵活就业问题纳入公益诉讼体系。</w:t>
      </w:r>
    </w:p>
    <w:p w14:paraId="3DA9627A" w14:textId="77777777" w:rsidR="00602083" w:rsidRDefault="00E51994">
      <w:pPr>
        <w:pStyle w:val="3"/>
        <w:spacing w:before="192" w:after="240"/>
        <w:ind w:firstLine="480"/>
      </w:pPr>
      <w:bookmarkStart w:id="163" w:name="_Toc30439"/>
      <w:bookmarkStart w:id="164" w:name="_Toc9028"/>
      <w:bookmarkStart w:id="165" w:name="_Toc93925291"/>
      <w:bookmarkStart w:id="166" w:name="_Toc92734388"/>
      <w:r>
        <w:t>（六）建立</w:t>
      </w:r>
      <w:r>
        <w:rPr>
          <w:rFonts w:hint="eastAsia"/>
        </w:rPr>
        <w:t>适应</w:t>
      </w:r>
      <w:r>
        <w:t>数字化</w:t>
      </w:r>
      <w:r>
        <w:rPr>
          <w:rFonts w:hint="eastAsia"/>
        </w:rPr>
        <w:t>发展</w:t>
      </w:r>
      <w:r>
        <w:t>的就业创业服务体系</w:t>
      </w:r>
      <w:bookmarkEnd w:id="163"/>
      <w:bookmarkEnd w:id="164"/>
      <w:bookmarkEnd w:id="165"/>
      <w:bookmarkEnd w:id="166"/>
    </w:p>
    <w:p w14:paraId="2633C035" w14:textId="77777777" w:rsidR="00602083" w:rsidRDefault="00E51994">
      <w:pPr>
        <w:spacing w:line="360" w:lineRule="auto"/>
        <w:ind w:firstLine="480"/>
        <w:rPr>
          <w:rFonts w:eastAsia="宋体" w:cs="Times New Roman"/>
          <w:sz w:val="24"/>
          <w:szCs w:val="24"/>
        </w:rPr>
      </w:pPr>
      <w:r>
        <w:rPr>
          <w:rFonts w:eastAsia="宋体" w:cs="Times New Roman"/>
          <w:sz w:val="24"/>
          <w:szCs w:val="24"/>
        </w:rPr>
        <w:t>一是深入推进</w:t>
      </w:r>
      <w:r>
        <w:rPr>
          <w:rFonts w:eastAsia="宋体" w:cs="Times New Roman"/>
          <w:sz w:val="24"/>
          <w:szCs w:val="24"/>
        </w:rPr>
        <w:t>“</w:t>
      </w:r>
      <w:r>
        <w:rPr>
          <w:rFonts w:eastAsia="宋体" w:cs="Times New Roman"/>
          <w:sz w:val="24"/>
          <w:szCs w:val="24"/>
        </w:rPr>
        <w:t>互联网</w:t>
      </w:r>
      <w:r>
        <w:rPr>
          <w:rFonts w:eastAsia="宋体" w:cs="Times New Roman"/>
          <w:sz w:val="24"/>
          <w:szCs w:val="24"/>
        </w:rPr>
        <w:t>+”</w:t>
      </w:r>
      <w:r>
        <w:rPr>
          <w:rFonts w:eastAsia="宋体" w:cs="Times New Roman"/>
          <w:sz w:val="24"/>
          <w:szCs w:val="24"/>
        </w:rPr>
        <w:t>公共就业创业服务，为劳动者提供政策解读、招聘求职、培训报名、课程培训、档案管理、就业创业证申领、就业创业补贴申报、就业援助申请等线上服务，提升全方位、精准化的公共就业服务。二是提升完善社保经办网上办事功能，为新业态劳动者提供在线参保、缴费、参保地变更、参保人员基本信息变更、证明出具、权益查询、领取待遇资格认证等服务，做好社会保险关系转移接续工作、提高社会保险经办服务水平。三是加快城市线下综合服务网点建设，推动在新就业形</w:t>
      </w:r>
      <w:r>
        <w:rPr>
          <w:rFonts w:eastAsia="宋体" w:cs="Times New Roman"/>
          <w:sz w:val="24"/>
          <w:szCs w:val="24"/>
        </w:rPr>
        <w:lastRenderedPageBreak/>
        <w:t>态劳动者集中居住区、商业区设置临时休息场所，解决休息、停车、充电、饮水等难题，为新就业形态劳动者提供便利。四是推动数字经济网络协同创新。打造以众创空间、孵化器为核心，创业企业、科研机构、金融机构、中介服务机构、资本市场和其他创业资源有机结合的创新创业服务网络；建立大中小企业融通创新体系，鼓励行业龙头企业开放企业技术链、供应链、物流链、渠道链，整合培训、金融等相关服务。五是搭建数字化公共服务平台为中小企业、创业者提供检验检测、知识产权服务、产品推广、孵化、培训、咨询、金融等多样化、专业化的</w:t>
      </w:r>
      <w:r>
        <w:rPr>
          <w:rFonts w:eastAsia="宋体" w:cs="Times New Roman"/>
          <w:sz w:val="24"/>
          <w:szCs w:val="24"/>
        </w:rPr>
        <w:t>“</w:t>
      </w:r>
      <w:r>
        <w:rPr>
          <w:rFonts w:eastAsia="宋体" w:cs="Times New Roman"/>
          <w:sz w:val="24"/>
          <w:szCs w:val="24"/>
        </w:rPr>
        <w:t>菜单式</w:t>
      </w:r>
      <w:r>
        <w:rPr>
          <w:rFonts w:eastAsia="宋体" w:cs="Times New Roman"/>
          <w:sz w:val="24"/>
          <w:szCs w:val="24"/>
        </w:rPr>
        <w:t>”</w:t>
      </w:r>
      <w:r>
        <w:rPr>
          <w:rFonts w:eastAsia="宋体" w:cs="Times New Roman"/>
          <w:sz w:val="24"/>
          <w:szCs w:val="24"/>
        </w:rPr>
        <w:t>配套服务。</w:t>
      </w:r>
    </w:p>
    <w:p w14:paraId="2A617B96" w14:textId="77777777" w:rsidR="00602083" w:rsidRDefault="00E51994">
      <w:pPr>
        <w:pStyle w:val="3"/>
        <w:spacing w:before="192" w:after="240"/>
        <w:ind w:firstLine="480"/>
      </w:pPr>
      <w:bookmarkStart w:id="167" w:name="_Toc92734389"/>
      <w:bookmarkStart w:id="168" w:name="_Toc18450"/>
      <w:bookmarkStart w:id="169" w:name="_Toc93925292"/>
      <w:r>
        <w:t>（七）构建适应数字经济发展的</w:t>
      </w:r>
      <w:r>
        <w:rPr>
          <w:rFonts w:hint="eastAsia"/>
        </w:rPr>
        <w:t>收入</w:t>
      </w:r>
      <w:r>
        <w:t>分配制度</w:t>
      </w:r>
      <w:bookmarkEnd w:id="167"/>
      <w:bookmarkEnd w:id="168"/>
      <w:bookmarkEnd w:id="169"/>
    </w:p>
    <w:p w14:paraId="78CEE428"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一方面</w:t>
      </w:r>
      <w:r>
        <w:rPr>
          <w:rFonts w:eastAsia="宋体" w:cs="Times New Roman"/>
          <w:sz w:val="24"/>
          <w:szCs w:val="24"/>
        </w:rPr>
        <w:t>，适当增加劳动获得收益的分成。面向收入分配中要素贡献差异，平衡资本与劳动在初次分配中的比重，适当提高劳动收入比重。在初次分配注重效率的同时应当兼顾公平，坚持在数字经济增长的同时实现居民收入同步增长、在劳动生产率提高的同时实现劳动报酬同步提高，适当平衡劳动与数据。</w:t>
      </w:r>
      <w:r>
        <w:rPr>
          <w:rFonts w:eastAsia="宋体" w:cs="Times New Roman" w:hint="eastAsia"/>
          <w:sz w:val="24"/>
          <w:szCs w:val="24"/>
        </w:rPr>
        <w:t>另一方面</w:t>
      </w:r>
      <w:r>
        <w:rPr>
          <w:rFonts w:eastAsia="宋体" w:cs="Times New Roman"/>
          <w:sz w:val="24"/>
          <w:szCs w:val="24"/>
        </w:rPr>
        <w:t>，防止数据要素参与收入分配可能引起的贫富差距进一步扩大。首先是明晰数据的收益权，数据在很多情况下是由消费者等个体创造、平台企业等数字经济主体收集整理，在利用数据要素获益的过程中，应兼顾双方利益，不应由任何一方独享全部收益，造成收入分配的两极分化。第三，建立规范的数据交易规则，透明、高效实现数据要素价值，给予数据要素公允价值和合理回报。加快建设数据交易市场，充分研究论证，建立适合我国实际的数据交易规则，在保证安全和隐私保护的前提下，创造数据高效流动、合理定价、自由交易的场景，促进数据要素更好参与初次分配。</w:t>
      </w:r>
    </w:p>
    <w:p w14:paraId="3413DB5A" w14:textId="77777777" w:rsidR="00602083" w:rsidRDefault="00E51994">
      <w:pPr>
        <w:pStyle w:val="3"/>
        <w:spacing w:before="192" w:after="240"/>
        <w:ind w:firstLine="480"/>
      </w:pPr>
      <w:bookmarkStart w:id="170" w:name="_Toc31921"/>
      <w:bookmarkStart w:id="171" w:name="_Toc92734390"/>
      <w:bookmarkStart w:id="172" w:name="_Toc93925293"/>
      <w:r>
        <w:t>（八）</w:t>
      </w:r>
      <w:r>
        <w:rPr>
          <w:rFonts w:hint="eastAsia"/>
        </w:rPr>
        <w:t>强化</w:t>
      </w:r>
      <w:r>
        <w:t>缩小</w:t>
      </w:r>
      <w:r>
        <w:rPr>
          <w:rFonts w:ascii="楷体_GB2312" w:hint="eastAsia"/>
        </w:rPr>
        <w:t>“数字鸿沟”</w:t>
      </w:r>
      <w:r>
        <w:t>的普惠政策</w:t>
      </w:r>
      <w:bookmarkEnd w:id="170"/>
      <w:bookmarkEnd w:id="171"/>
      <w:bookmarkEnd w:id="172"/>
    </w:p>
    <w:p w14:paraId="78D2D93E"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一方面</w:t>
      </w:r>
      <w:r>
        <w:rPr>
          <w:rFonts w:eastAsia="宋体" w:cs="Times New Roman"/>
          <w:sz w:val="24"/>
          <w:szCs w:val="24"/>
        </w:rPr>
        <w:t>，加大中央财政支持力度，完善补贴制度。以普遍服务项目的建设实际支出作为补贴的计算基准，采取后补助方式提供财政支持。适度提高补贴比例，保证电信运营商在普遍服务建设中能够实现盈亏平衡。在现行制度基础上，逐步将未纳入普遍服务试点，但实际上提供具有普遍服务性质的项目纳入补贴范围。配套严格的支出审计制度，保证财政资金的使用效率。探索吸引社会资本参与电信普遍服务建设的新模式。尝试扩大电信普遍服务提供者范围，将增值电信运营商纳入其中。多种渠道缓解中央财政和电信运营商建设资金不足的压力。</w:t>
      </w:r>
    </w:p>
    <w:p w14:paraId="4BE51FA7" w14:textId="77777777" w:rsidR="00602083" w:rsidRDefault="00E51994">
      <w:pPr>
        <w:spacing w:line="360" w:lineRule="auto"/>
        <w:ind w:firstLine="480"/>
        <w:rPr>
          <w:rFonts w:eastAsia="宋体" w:cs="Times New Roman"/>
          <w:sz w:val="24"/>
          <w:szCs w:val="24"/>
        </w:rPr>
      </w:pPr>
      <w:r>
        <w:rPr>
          <w:rFonts w:eastAsia="宋体" w:cs="Times New Roman" w:hint="eastAsia"/>
          <w:sz w:val="24"/>
          <w:szCs w:val="24"/>
        </w:rPr>
        <w:t>另一方面</w:t>
      </w:r>
      <w:r>
        <w:rPr>
          <w:rFonts w:eastAsia="宋体" w:cs="Times New Roman"/>
          <w:sz w:val="24"/>
          <w:szCs w:val="24"/>
        </w:rPr>
        <w:t>，将数字经济的部分环节向欠发达地区倾斜。将包括数据标注、内容审</w:t>
      </w:r>
      <w:r>
        <w:rPr>
          <w:rFonts w:eastAsia="宋体" w:cs="Times New Roman"/>
          <w:sz w:val="24"/>
          <w:szCs w:val="24"/>
        </w:rPr>
        <w:lastRenderedPageBreak/>
        <w:t>核在内的就业门槛相对低、就业形式灵活、收入分配公平性性高、就业创造效应明显的特点。发挥好欠发达地区的后发优势，以更快速的发展缩小地区间收入差。利用好欠发达地区数字经济发展的边际效益优势，通过信息网络把多方要素收集、加工、处理、分析、综合，形成高质量数据资源用于经济发展；利用好数字经济的</w:t>
      </w:r>
      <w:r>
        <w:rPr>
          <w:rFonts w:eastAsia="宋体" w:cs="Times New Roman" w:hint="eastAsia"/>
          <w:sz w:val="24"/>
          <w:szCs w:val="24"/>
        </w:rPr>
        <w:t>“</w:t>
      </w:r>
      <w:r>
        <w:rPr>
          <w:rFonts w:eastAsia="宋体" w:cs="Times New Roman"/>
          <w:sz w:val="24"/>
          <w:szCs w:val="24"/>
        </w:rPr>
        <w:t>去中介化</w:t>
      </w:r>
      <w:r>
        <w:rPr>
          <w:rFonts w:eastAsia="宋体" w:cs="Times New Roman" w:hint="eastAsia"/>
          <w:sz w:val="24"/>
          <w:szCs w:val="24"/>
        </w:rPr>
        <w:t>”</w:t>
      </w:r>
      <w:r>
        <w:rPr>
          <w:rFonts w:eastAsia="宋体" w:cs="Times New Roman"/>
          <w:sz w:val="24"/>
          <w:szCs w:val="24"/>
        </w:rPr>
        <w:t>特征，降低企业和消费者的交易成本，实现更具普惠性、协调性和包容性的增长。利用好欠发达地区人口较多、潜在市场规模巨大的特点，通过网络效应扩大，加快后发地区的追赶步伐。</w:t>
      </w:r>
    </w:p>
    <w:p w14:paraId="2FFC1486" w14:textId="77777777" w:rsidR="00602083" w:rsidRDefault="00E51994">
      <w:pPr>
        <w:pStyle w:val="2"/>
        <w:ind w:firstLine="480"/>
      </w:pPr>
      <w:bookmarkStart w:id="173" w:name="_Toc93925294"/>
      <w:bookmarkStart w:id="174" w:name="_Toc92734391"/>
      <w:bookmarkStart w:id="175" w:name="_Toc93841286"/>
      <w:r>
        <w:rPr>
          <w:rFonts w:hint="eastAsia"/>
        </w:rPr>
        <w:t>参考文献</w:t>
      </w:r>
      <w:bookmarkEnd w:id="173"/>
      <w:bookmarkEnd w:id="174"/>
      <w:bookmarkEnd w:id="175"/>
    </w:p>
    <w:p w14:paraId="74AC1DC3"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Abuselidze,G.&amp;L.Mamaladze.The impact of artificial intelligence on empolyment before and during pandemic:A comparative analysis[J].Journal of Physics:Confererce Series,Vol.1840,Iss.1.</w:t>
      </w:r>
    </w:p>
    <w:p w14:paraId="09FEADD1"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Acemoglu D , Restrepo P . Robots and Jobs: Evidence from US Labor Markets[J]. NBER Working Papers, 2017.</w:t>
      </w:r>
    </w:p>
    <w:p w14:paraId="0A5ED4AA"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Acemoglu,D.&amp;D.Autor.Skills,task and technologies:Implications for employment and earnings[J].NBER Working Paper,2010.No.16082.</w:t>
      </w:r>
    </w:p>
    <w:p w14:paraId="731137E6"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Aghion P,Howitt P. Growth and Unemployment[J]. Review of Economic Studies,1994, 61</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:477-494.</w:t>
      </w:r>
    </w:p>
    <w:p w14:paraId="769A70F5"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Agrawal A , Mchale J , Oettl A . Finding Needles in Haystacks: Artificial Intelligence and Recombinant Growth[J]. Nber Chapters, 2018.</w:t>
      </w:r>
    </w:p>
    <w:p w14:paraId="1DEC5154"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Autor D , Salomons A . Is Automation Labor-Displacing? Productivity Growth, Employment, and the Labor Share[J]. NBER Working Papers, 2018.</w:t>
      </w:r>
    </w:p>
    <w:p w14:paraId="0DF8D3C4"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Autor D H , Dorn D . Inequality and specialization: the growth of low-skill service jobs in the United States[J]. IZA Discussion Papers, 2009</w:t>
      </w:r>
    </w:p>
    <w:p w14:paraId="1DE0CE49"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Berg A , Bu Ff Ie E F , Zanna L F . Robots, Growth, and Inequality. .Finance &amp; Development, September 2016, Vol. 53, No. 3</w:t>
      </w:r>
    </w:p>
    <w:p w14:paraId="54569651"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Berriman,R.&amp;J.Hawlsworth.Will robots steal our jobs?The potential impact of automation on the UK and other major economies[J].PwC UK Economic Outlook</w:t>
      </w:r>
      <w:r>
        <w:rPr>
          <w:rFonts w:ascii="Times New Roman" w:hAnsi="Times New Roman" w:hint="eastAsia"/>
          <w:szCs w:val="21"/>
        </w:rPr>
        <w:t>，</w:t>
      </w:r>
      <w:r>
        <w:rPr>
          <w:rFonts w:ascii="Times New Roman" w:hAnsi="Times New Roman" w:hint="eastAsia"/>
          <w:szCs w:val="21"/>
        </w:rPr>
        <w:t>March.2017:30-47</w:t>
      </w:r>
    </w:p>
    <w:p w14:paraId="18D18C6D"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Boston Consulting Group (BCG). The Future of Jobs in the Era of AI[EB/OL]., https://www.bcg.com/publications/2021/impact-of-new-technologies-on-jobs .2021-03-18</w:t>
      </w:r>
    </w:p>
    <w:p w14:paraId="3A04F3C3"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Caselli, Francesco, Manning, et al. Robot arithmetic: can new technology harm all workers or the average worker?[J]. Lse Research Online Documents on Economics, 2017.</w:t>
      </w:r>
    </w:p>
    <w:p w14:paraId="6B084239"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Dauth W , Findeisen S , Dekum, et al. German Robots - The Impact of Industrial Robots on Workers[J]. Cepr Discussion Papers, 2017.</w:t>
      </w:r>
    </w:p>
    <w:p w14:paraId="36E1825D"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David, H, Autor. Why are there still so many jobs?The history and future of workplace automation[J]. Operations Research Management Science, 2017.</w:t>
      </w:r>
    </w:p>
    <w:p w14:paraId="0452F4CB"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lastRenderedPageBreak/>
        <w:t>Frey,C.B.&amp;M.A.Osborne,.he future of empoloyment:How susceptible are jobs to computerisation?[J].Technological Forecasting and Social Change,2017(114):254-280.</w:t>
      </w:r>
    </w:p>
    <w:p w14:paraId="7D85BC66"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Gaggl,Greg C W.Short-Run View of What Computers Do: Evidence from a UK Tax Incentive[J] . American Economic Journal: Applied Economics ,2017 (3):262-294</w:t>
      </w:r>
    </w:p>
    <w:p w14:paraId="0E999F27"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Harrison R</w:t>
      </w:r>
      <w:r>
        <w:rPr>
          <w:rFonts w:ascii="Times New Roman" w:hAnsi="Times New Roman" w:hint="eastAsia"/>
          <w:szCs w:val="21"/>
        </w:rPr>
        <w:t>，</w:t>
      </w:r>
      <w:r>
        <w:rPr>
          <w:rFonts w:ascii="Times New Roman" w:hAnsi="Times New Roman" w:hint="eastAsia"/>
          <w:szCs w:val="21"/>
        </w:rPr>
        <w:t xml:space="preserve"> Jaumandreu J</w:t>
      </w:r>
      <w:r>
        <w:rPr>
          <w:rFonts w:ascii="Times New Roman" w:hAnsi="Times New Roman" w:hint="eastAsia"/>
          <w:szCs w:val="21"/>
        </w:rPr>
        <w:t>，</w:t>
      </w:r>
      <w:r>
        <w:rPr>
          <w:rFonts w:ascii="Times New Roman" w:hAnsi="Times New Roman" w:hint="eastAsia"/>
          <w:szCs w:val="21"/>
        </w:rPr>
        <w:t xml:space="preserve"> Mairesse J</w:t>
      </w:r>
      <w:r>
        <w:rPr>
          <w:rFonts w:ascii="Times New Roman" w:hAnsi="Times New Roman" w:hint="eastAsia"/>
          <w:szCs w:val="21"/>
        </w:rPr>
        <w:t>，</w:t>
      </w:r>
      <w:r>
        <w:rPr>
          <w:rFonts w:ascii="Times New Roman" w:hAnsi="Times New Roman" w:hint="eastAsia"/>
          <w:szCs w:val="21"/>
        </w:rPr>
        <w:t xml:space="preserve"> et al. Does innovation stimulate employment</w:t>
      </w:r>
      <w:r>
        <w:rPr>
          <w:rFonts w:ascii="Times New Roman" w:hAnsi="Times New Roman" w:hint="eastAsia"/>
          <w:szCs w:val="21"/>
        </w:rPr>
        <w:t>？</w:t>
      </w:r>
      <w:r>
        <w:rPr>
          <w:rFonts w:ascii="Times New Roman" w:hAnsi="Times New Roman" w:hint="eastAsia"/>
          <w:szCs w:val="21"/>
        </w:rPr>
        <w:t xml:space="preserve"> A firm-level analysis using comparable micro-data from four European countries [J]. International Journal of Industrial Organization</w:t>
      </w:r>
      <w:r>
        <w:rPr>
          <w:rFonts w:ascii="Times New Roman" w:hAnsi="Times New Roman" w:hint="eastAsia"/>
          <w:szCs w:val="21"/>
        </w:rPr>
        <w:t>，</w:t>
      </w:r>
      <w:r>
        <w:rPr>
          <w:rFonts w:ascii="Times New Roman" w:hAnsi="Times New Roman" w:hint="eastAsia"/>
          <w:szCs w:val="21"/>
        </w:rPr>
        <w:t xml:space="preserve"> 2014,35(8):29-43.</w:t>
      </w:r>
    </w:p>
    <w:p w14:paraId="367B45A7"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https://baijiahao.baidu.com/s?id=1716365057743755329&amp;wfr=spider&amp;for=pc</w:t>
      </w:r>
    </w:p>
    <w:p w14:paraId="322BF122"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Jeffrey D. Sachs.R&amp;D, Structural Transformation, and the Distribution of Income[M].The Economics of Artificial Intelligence: An Agenda .2018.329-348.</w:t>
      </w:r>
    </w:p>
    <w:p w14:paraId="5ACE7A8B"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Korinek A , Stiglitz J E . Artificial Intelligence, Globalization, and Strategies for Economic Development[J]. CEPR Discussion Papers, 2021.</w:t>
      </w:r>
    </w:p>
    <w:p w14:paraId="3E40147E"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Lankisch C . Robots and the skill premium: An automation-based explanation of wage inequality[J]. Klaus Prettner, 2017.</w:t>
      </w:r>
    </w:p>
    <w:p w14:paraId="3B5EF220"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Martens B , Tolan S . Will this time be different? A review of the literature on the Impact of Artificial Intelligence on Employment, Incomes and Growth[J]. JRC Working Papers on Digital Economy, 2018.</w:t>
      </w:r>
    </w:p>
    <w:p w14:paraId="447B92FC"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Pini P.Technical change and labor displacement.Some comments on Recent Models of Technical Unemployment[J].1997.</w:t>
      </w:r>
    </w:p>
    <w:p w14:paraId="53C2B3D3" w14:textId="77777777" w:rsidR="00602083" w:rsidRDefault="00E51994">
      <w:pPr>
        <w:pStyle w:val="aff7"/>
        <w:numPr>
          <w:ilvl w:val="0"/>
          <w:numId w:val="3"/>
        </w:numPr>
        <w:adjustRightInd w:val="0"/>
        <w:spacing w:line="360" w:lineRule="auto"/>
        <w:ind w:firstLineChars="0"/>
        <w:jc w:val="left"/>
        <w:rPr>
          <w:rFonts w:ascii="Times New Roman" w:hAnsi="Times New Roman"/>
          <w:szCs w:val="21"/>
        </w:rPr>
      </w:pPr>
      <w:r>
        <w:rPr>
          <w:rFonts w:ascii="Times New Roman" w:hAnsi="Times New Roman"/>
          <w:szCs w:val="21"/>
        </w:rPr>
        <w:t>PwC.Will robots really steal our jobs?[EB/OL]. https://www.pwc.com/hu/hu/kiadvanyok/assets/pdf/impact_of_automation_on_jobs.2018-02-08</w:t>
      </w:r>
    </w:p>
    <w:p w14:paraId="6F797D2B"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szCs w:val="21"/>
        </w:rPr>
        <w:t>Robinson S . Toward an Adequate Long-Run Model of Income Distribution and Economic Development[J]. American Economic Review, 1976, 66.</w:t>
      </w:r>
    </w:p>
    <w:p w14:paraId="22C3BA75"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Thor Berger</w:t>
      </w:r>
      <w:r>
        <w:rPr>
          <w:rFonts w:ascii="Times New Roman" w:hAnsi="Times New Roman" w:hint="eastAsia"/>
          <w:szCs w:val="21"/>
        </w:rPr>
        <w:t>，</w:t>
      </w:r>
      <w:r>
        <w:rPr>
          <w:rFonts w:ascii="Times New Roman" w:hAnsi="Times New Roman" w:hint="eastAsia"/>
          <w:szCs w:val="21"/>
        </w:rPr>
        <w:t>Carl Benedikt Frey. Did the Computer Revolution shift the fortunes of U.S. cities? Technology shocks and the geography of new jobs[J]. Regional Science and Urban Economics, 2016, 57:38-45.</w:t>
      </w:r>
    </w:p>
    <w:p w14:paraId="49D4DA45"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阿里研究院</w:t>
      </w:r>
      <w:r>
        <w:rPr>
          <w:rFonts w:ascii="Times New Roman" w:hAnsi="Times New Roman" w:hint="eastAsia"/>
          <w:szCs w:val="21"/>
        </w:rPr>
        <w:t>.2020</w:t>
      </w:r>
      <w:r>
        <w:rPr>
          <w:rFonts w:ascii="Times New Roman" w:hAnsi="Times New Roman" w:hint="eastAsia"/>
          <w:szCs w:val="21"/>
        </w:rPr>
        <w:t>中国淘宝村研究报告</w:t>
      </w:r>
      <w:r>
        <w:rPr>
          <w:rFonts w:ascii="Times New Roman" w:hAnsi="Times New Roman" w:hint="eastAsia"/>
          <w:szCs w:val="21"/>
        </w:rPr>
        <w:t>[R].2021.05</w:t>
      </w:r>
    </w:p>
    <w:p w14:paraId="05C652A6"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北京市协作者社会工作发展中心</w:t>
      </w:r>
      <w:r>
        <w:rPr>
          <w:rFonts w:ascii="Times New Roman" w:hAnsi="Times New Roman" w:hint="eastAsia"/>
          <w:szCs w:val="21"/>
        </w:rPr>
        <w:t>.</w:t>
      </w:r>
      <w:r>
        <w:rPr>
          <w:rFonts w:ascii="Times New Roman" w:hAnsi="Times New Roman" w:hint="eastAsia"/>
          <w:szCs w:val="21"/>
        </w:rPr>
        <w:t>骑手生存与发展需求报告</w:t>
      </w:r>
      <w:r>
        <w:rPr>
          <w:rFonts w:ascii="Times New Roman" w:hAnsi="Times New Roman" w:hint="eastAsia"/>
          <w:szCs w:val="21"/>
        </w:rPr>
        <w:t>[R].2020-05</w:t>
      </w:r>
    </w:p>
    <w:p w14:paraId="245D6C05"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北京致诚农民工法律援助与研究中心</w:t>
      </w:r>
      <w:r>
        <w:rPr>
          <w:rFonts w:ascii="Times New Roman" w:hAnsi="Times New Roman" w:hint="eastAsia"/>
          <w:szCs w:val="21"/>
        </w:rPr>
        <w:t>.</w:t>
      </w:r>
      <w:r>
        <w:rPr>
          <w:rFonts w:ascii="Times New Roman" w:hAnsi="Times New Roman" w:hint="eastAsia"/>
          <w:szCs w:val="21"/>
        </w:rPr>
        <w:t>《外卖平台用工模式法律研究报告》</w:t>
      </w:r>
      <w:r>
        <w:rPr>
          <w:rFonts w:ascii="Times New Roman" w:hAnsi="Times New Roman" w:hint="eastAsia"/>
          <w:szCs w:val="21"/>
        </w:rPr>
        <w:t>.2020.09</w:t>
      </w:r>
    </w:p>
    <w:p w14:paraId="2F05BAC2"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曹达华</w:t>
      </w:r>
      <w:r>
        <w:rPr>
          <w:rFonts w:ascii="Times New Roman" w:hAnsi="Times New Roman" w:hint="eastAsia"/>
          <w:szCs w:val="21"/>
        </w:rPr>
        <w:t>.</w:t>
      </w:r>
      <w:r>
        <w:rPr>
          <w:rFonts w:ascii="Times New Roman" w:hAnsi="Times New Roman" w:hint="eastAsia"/>
          <w:szCs w:val="21"/>
        </w:rPr>
        <w:t>澳门经济结构演变对就业和收入分配的影响分析</w:t>
      </w:r>
      <w:r>
        <w:rPr>
          <w:rFonts w:ascii="Times New Roman" w:hAnsi="Times New Roman" w:hint="eastAsia"/>
          <w:szCs w:val="21"/>
        </w:rPr>
        <w:t>[J].</w:t>
      </w:r>
      <w:r>
        <w:rPr>
          <w:rFonts w:ascii="Times New Roman" w:hAnsi="Times New Roman" w:hint="eastAsia"/>
          <w:szCs w:val="21"/>
        </w:rPr>
        <w:t>广东行政学院学报</w:t>
      </w:r>
      <w:r>
        <w:rPr>
          <w:rFonts w:ascii="Times New Roman" w:hAnsi="Times New Roman" w:hint="eastAsia"/>
          <w:szCs w:val="21"/>
        </w:rPr>
        <w:t>,2016,28(03):90-95.</w:t>
      </w:r>
    </w:p>
    <w:p w14:paraId="09DA6E22"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陈斌开</w:t>
      </w:r>
      <w:r>
        <w:rPr>
          <w:rFonts w:ascii="Times New Roman" w:hAnsi="Times New Roman" w:hint="eastAsia"/>
          <w:szCs w:val="21"/>
        </w:rPr>
        <w:t xml:space="preserve">, </w:t>
      </w:r>
      <w:r>
        <w:rPr>
          <w:rFonts w:ascii="Times New Roman" w:hAnsi="Times New Roman" w:hint="eastAsia"/>
          <w:szCs w:val="21"/>
        </w:rPr>
        <w:t>马燕来</w:t>
      </w:r>
      <w:r>
        <w:rPr>
          <w:rFonts w:ascii="Times New Roman" w:hAnsi="Times New Roman" w:hint="eastAsia"/>
          <w:szCs w:val="21"/>
        </w:rPr>
        <w:t xml:space="preserve">. </w:t>
      </w:r>
      <w:r>
        <w:rPr>
          <w:rFonts w:ascii="Times New Roman" w:hAnsi="Times New Roman" w:hint="eastAsia"/>
          <w:szCs w:val="21"/>
        </w:rPr>
        <w:t>数字经济对发展中国家与发达国家劳动力市场的不同影响——技能替代视角的分析</w:t>
      </w:r>
      <w:r>
        <w:rPr>
          <w:rFonts w:ascii="Times New Roman" w:hAnsi="Times New Roman" w:hint="eastAsia"/>
          <w:szCs w:val="21"/>
        </w:rPr>
        <w:t xml:space="preserve">[J]. </w:t>
      </w:r>
      <w:r>
        <w:rPr>
          <w:rFonts w:ascii="Times New Roman" w:hAnsi="Times New Roman" w:hint="eastAsia"/>
          <w:szCs w:val="21"/>
        </w:rPr>
        <w:t>北京交通大学学报</w:t>
      </w:r>
      <w:r>
        <w:rPr>
          <w:rFonts w:ascii="Times New Roman" w:hAnsi="Times New Roman" w:hint="eastAsia"/>
          <w:szCs w:val="21"/>
        </w:rPr>
        <w:t>:</w:t>
      </w:r>
      <w:r>
        <w:rPr>
          <w:rFonts w:ascii="Times New Roman" w:hAnsi="Times New Roman" w:hint="eastAsia"/>
          <w:szCs w:val="21"/>
        </w:rPr>
        <w:t>社会科学版</w:t>
      </w:r>
      <w:r>
        <w:rPr>
          <w:rFonts w:ascii="Times New Roman" w:hAnsi="Times New Roman" w:hint="eastAsia"/>
          <w:szCs w:val="21"/>
        </w:rPr>
        <w:t>, 20(2):12.</w:t>
      </w:r>
    </w:p>
    <w:p w14:paraId="1BBFD709"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陈怡</w:t>
      </w:r>
      <w:r>
        <w:rPr>
          <w:rFonts w:ascii="Times New Roman" w:hAnsi="Times New Roman" w:hint="eastAsia"/>
          <w:szCs w:val="21"/>
        </w:rPr>
        <w:t xml:space="preserve">, </w:t>
      </w:r>
      <w:r>
        <w:rPr>
          <w:rFonts w:ascii="Times New Roman" w:hAnsi="Times New Roman" w:hint="eastAsia"/>
          <w:szCs w:val="21"/>
        </w:rPr>
        <w:t>刘芸芸</w:t>
      </w:r>
      <w:r>
        <w:rPr>
          <w:rFonts w:ascii="Times New Roman" w:hAnsi="Times New Roman" w:hint="eastAsia"/>
          <w:szCs w:val="21"/>
        </w:rPr>
        <w:t xml:space="preserve">. </w:t>
      </w:r>
      <w:r>
        <w:rPr>
          <w:rFonts w:ascii="Times New Roman" w:hAnsi="Times New Roman" w:hint="eastAsia"/>
          <w:szCs w:val="21"/>
        </w:rPr>
        <w:t>技术创新对收入分配的影响——基于不同收入人群的分析</w:t>
      </w:r>
      <w:r>
        <w:rPr>
          <w:rFonts w:ascii="Times New Roman" w:hAnsi="Times New Roman" w:hint="eastAsia"/>
          <w:szCs w:val="21"/>
        </w:rPr>
        <w:t>[J]. 2021(2019-2):69-79.</w:t>
      </w:r>
    </w:p>
    <w:p w14:paraId="29A92F17"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邓志国</w:t>
      </w:r>
      <w:r>
        <w:rPr>
          <w:rFonts w:ascii="Times New Roman" w:hAnsi="Times New Roman" w:hint="eastAsia"/>
          <w:szCs w:val="21"/>
        </w:rPr>
        <w:t xml:space="preserve">, </w:t>
      </w:r>
      <w:r>
        <w:rPr>
          <w:rFonts w:ascii="Times New Roman" w:hAnsi="Times New Roman" w:hint="eastAsia"/>
          <w:szCs w:val="21"/>
        </w:rPr>
        <w:t>陈锡康</w:t>
      </w:r>
      <w:r>
        <w:rPr>
          <w:rFonts w:ascii="Times New Roman" w:hAnsi="Times New Roman" w:hint="eastAsia"/>
          <w:szCs w:val="21"/>
        </w:rPr>
        <w:t xml:space="preserve">, </w:t>
      </w:r>
      <w:r>
        <w:rPr>
          <w:rFonts w:ascii="Times New Roman" w:hAnsi="Times New Roman" w:hint="eastAsia"/>
          <w:szCs w:val="21"/>
        </w:rPr>
        <w:t>吴建新</w:t>
      </w:r>
      <w:r>
        <w:rPr>
          <w:rFonts w:ascii="Times New Roman" w:hAnsi="Times New Roman" w:hint="eastAsia"/>
          <w:szCs w:val="21"/>
        </w:rPr>
        <w:t xml:space="preserve">. </w:t>
      </w:r>
      <w:r>
        <w:rPr>
          <w:rFonts w:ascii="Times New Roman" w:hAnsi="Times New Roman" w:hint="eastAsia"/>
          <w:szCs w:val="21"/>
        </w:rPr>
        <w:t>中国各部门就业人员劳动收入分配及其影响因素分析</w:t>
      </w:r>
      <w:r>
        <w:rPr>
          <w:rFonts w:ascii="Times New Roman" w:hAnsi="Times New Roman" w:hint="eastAsia"/>
          <w:szCs w:val="21"/>
        </w:rPr>
        <w:t xml:space="preserve">[J]. </w:t>
      </w:r>
      <w:r>
        <w:rPr>
          <w:rFonts w:ascii="Times New Roman" w:hAnsi="Times New Roman" w:hint="eastAsia"/>
          <w:szCs w:val="21"/>
        </w:rPr>
        <w:t>管理评</w:t>
      </w:r>
      <w:r>
        <w:rPr>
          <w:rFonts w:ascii="Times New Roman" w:hAnsi="Times New Roman" w:hint="eastAsia"/>
          <w:szCs w:val="21"/>
        </w:rPr>
        <w:lastRenderedPageBreak/>
        <w:t>论</w:t>
      </w:r>
      <w:r>
        <w:rPr>
          <w:rFonts w:ascii="Times New Roman" w:hAnsi="Times New Roman" w:hint="eastAsia"/>
          <w:szCs w:val="21"/>
        </w:rPr>
        <w:t>, 2009(11):12-17.</w:t>
      </w:r>
    </w:p>
    <w:p w14:paraId="5A804F62"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龚六堂</w:t>
      </w:r>
      <w:r>
        <w:rPr>
          <w:rFonts w:ascii="Times New Roman" w:hAnsi="Times New Roman" w:hint="eastAsia"/>
          <w:szCs w:val="21"/>
        </w:rPr>
        <w:t>.</w:t>
      </w:r>
      <w:r>
        <w:rPr>
          <w:rFonts w:ascii="Times New Roman" w:hAnsi="Times New Roman" w:hint="eastAsia"/>
          <w:szCs w:val="21"/>
        </w:rPr>
        <w:t>数字经济就业的特征、影响及应对策略</w:t>
      </w:r>
      <w:r>
        <w:rPr>
          <w:rFonts w:ascii="Times New Roman" w:hAnsi="Times New Roman" w:hint="eastAsia"/>
          <w:szCs w:val="21"/>
        </w:rPr>
        <w:t>[J].</w:t>
      </w:r>
      <w:r>
        <w:rPr>
          <w:rFonts w:ascii="Times New Roman" w:hAnsi="Times New Roman" w:hint="eastAsia"/>
          <w:szCs w:val="21"/>
        </w:rPr>
        <w:t>国家治理</w:t>
      </w:r>
      <w:r>
        <w:rPr>
          <w:rFonts w:ascii="Times New Roman" w:hAnsi="Times New Roman" w:hint="eastAsia"/>
          <w:szCs w:val="21"/>
        </w:rPr>
        <w:t>,2021(23):29-35.</w:t>
      </w:r>
    </w:p>
    <w:p w14:paraId="07724E21"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龚玉泉，袁志刚</w:t>
      </w:r>
      <w:r>
        <w:rPr>
          <w:rFonts w:ascii="Times New Roman" w:hAnsi="Times New Roman" w:hint="eastAsia"/>
          <w:szCs w:val="21"/>
        </w:rPr>
        <w:t>.</w:t>
      </w:r>
      <w:r>
        <w:rPr>
          <w:rFonts w:ascii="Times New Roman" w:hAnsi="Times New Roman" w:hint="eastAsia"/>
          <w:szCs w:val="21"/>
        </w:rPr>
        <w:t>中国经济增长与就业增长的非一致性及其形成机理</w:t>
      </w:r>
      <w:r>
        <w:rPr>
          <w:rFonts w:ascii="Times New Roman" w:hAnsi="Times New Roman" w:hint="eastAsia"/>
          <w:szCs w:val="21"/>
        </w:rPr>
        <w:t xml:space="preserve">[J]. </w:t>
      </w:r>
      <w:r>
        <w:rPr>
          <w:rFonts w:ascii="Times New Roman" w:hAnsi="Times New Roman" w:hint="eastAsia"/>
          <w:szCs w:val="21"/>
        </w:rPr>
        <w:t>经济学动态，</w:t>
      </w:r>
      <w:r>
        <w:rPr>
          <w:rFonts w:ascii="Times New Roman" w:hAnsi="Times New Roman" w:hint="eastAsia"/>
          <w:szCs w:val="21"/>
        </w:rPr>
        <w:t>2002</w:t>
      </w: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rPr>
        <w:t>）</w:t>
      </w:r>
      <w:r>
        <w:rPr>
          <w:rFonts w:ascii="Times New Roman" w:hAnsi="Times New Roman" w:hint="eastAsia"/>
          <w:szCs w:val="21"/>
        </w:rPr>
        <w:t>:35-39.</w:t>
      </w:r>
    </w:p>
    <w:p w14:paraId="472BEE34"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国家工业信息安全发展研究中心</w:t>
      </w:r>
      <w:r>
        <w:rPr>
          <w:rFonts w:ascii="Times New Roman" w:hAnsi="Times New Roman" w:hint="eastAsia"/>
          <w:szCs w:val="21"/>
        </w:rPr>
        <w:t>.</w:t>
      </w:r>
      <w:r>
        <w:rPr>
          <w:rFonts w:ascii="Times New Roman" w:hAnsi="Times New Roman" w:hint="eastAsia"/>
          <w:szCs w:val="21"/>
        </w:rPr>
        <w:t>人工智能与制造业融合发展白皮书</w:t>
      </w:r>
      <w:r>
        <w:rPr>
          <w:rFonts w:ascii="Times New Roman" w:hAnsi="Times New Roman" w:hint="eastAsia"/>
          <w:szCs w:val="21"/>
        </w:rPr>
        <w:t>2020[R].2020-11</w:t>
      </w:r>
    </w:p>
    <w:p w14:paraId="7B5E0CCA"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国家信息中心</w:t>
      </w:r>
      <w:r>
        <w:rPr>
          <w:rFonts w:ascii="Times New Roman" w:hAnsi="Times New Roman" w:hint="eastAsia"/>
          <w:szCs w:val="21"/>
        </w:rPr>
        <w:t>.</w:t>
      </w:r>
      <w:r>
        <w:rPr>
          <w:rFonts w:ascii="Times New Roman" w:hAnsi="Times New Roman" w:hint="eastAsia"/>
          <w:szCs w:val="21"/>
        </w:rPr>
        <w:t>中国共享经济发展报告（</w:t>
      </w:r>
      <w:r>
        <w:rPr>
          <w:rFonts w:ascii="Times New Roman" w:hAnsi="Times New Roman" w:hint="eastAsia"/>
          <w:szCs w:val="21"/>
        </w:rPr>
        <w:t>2021</w:t>
      </w:r>
      <w:r>
        <w:rPr>
          <w:rFonts w:ascii="Times New Roman" w:hAnsi="Times New Roman" w:hint="eastAsia"/>
          <w:szCs w:val="21"/>
        </w:rPr>
        <w:t>）</w:t>
      </w:r>
      <w:r>
        <w:rPr>
          <w:rFonts w:ascii="Times New Roman" w:hAnsi="Times New Roman" w:hint="eastAsia"/>
          <w:szCs w:val="21"/>
        </w:rPr>
        <w:t>[R].2021-02</w:t>
      </w:r>
    </w:p>
    <w:p w14:paraId="621DA1A9"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韩文龙</w:t>
      </w:r>
      <w:r>
        <w:rPr>
          <w:rFonts w:ascii="Times New Roman" w:hAnsi="Times New Roman" w:hint="eastAsia"/>
          <w:szCs w:val="21"/>
        </w:rPr>
        <w:t>.</w:t>
      </w:r>
      <w:r>
        <w:rPr>
          <w:rFonts w:ascii="Times New Roman" w:hAnsi="Times New Roman" w:hint="eastAsia"/>
          <w:szCs w:val="21"/>
        </w:rPr>
        <w:t>数字经济赋能经济高质量发展的政治经济学分析</w:t>
      </w:r>
      <w:r>
        <w:rPr>
          <w:rFonts w:ascii="Times New Roman" w:hAnsi="Times New Roman" w:hint="eastAsia"/>
          <w:szCs w:val="21"/>
        </w:rPr>
        <w:t>[J].</w:t>
      </w:r>
      <w:r>
        <w:rPr>
          <w:rFonts w:ascii="Times New Roman" w:hAnsi="Times New Roman" w:hint="eastAsia"/>
          <w:szCs w:val="21"/>
        </w:rPr>
        <w:t>中国社会科学院研究生院学报</w:t>
      </w:r>
      <w:r>
        <w:rPr>
          <w:rFonts w:ascii="Times New Roman" w:hAnsi="Times New Roman" w:hint="eastAsia"/>
          <w:szCs w:val="21"/>
        </w:rPr>
        <w:t>,2021(02):98-108.</w:t>
      </w:r>
    </w:p>
    <w:p w14:paraId="25CFA909"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黄浩</w:t>
      </w:r>
      <w:r>
        <w:rPr>
          <w:rFonts w:ascii="Times New Roman" w:hAnsi="Times New Roman" w:hint="eastAsia"/>
          <w:szCs w:val="21"/>
        </w:rPr>
        <w:t>.</w:t>
      </w:r>
      <w:r>
        <w:rPr>
          <w:rFonts w:ascii="Times New Roman" w:hAnsi="Times New Roman" w:hint="eastAsia"/>
          <w:szCs w:val="21"/>
        </w:rPr>
        <w:t>数字经济带来的就业挑战与应对措施</w:t>
      </w:r>
      <w:r>
        <w:rPr>
          <w:rFonts w:ascii="Times New Roman" w:hAnsi="Times New Roman" w:hint="eastAsia"/>
          <w:szCs w:val="21"/>
        </w:rPr>
        <w:t>[J].</w:t>
      </w:r>
      <w:r>
        <w:rPr>
          <w:rFonts w:ascii="Times New Roman" w:hAnsi="Times New Roman" w:hint="eastAsia"/>
          <w:szCs w:val="21"/>
        </w:rPr>
        <w:t>人民论坛</w:t>
      </w:r>
      <w:r>
        <w:rPr>
          <w:rFonts w:ascii="Times New Roman" w:hAnsi="Times New Roman" w:hint="eastAsia"/>
          <w:szCs w:val="21"/>
        </w:rPr>
        <w:t>,2021(01):16-18.</w:t>
      </w:r>
    </w:p>
    <w:p w14:paraId="2A94938A"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黄佳</w:t>
      </w:r>
      <w:r>
        <w:rPr>
          <w:rFonts w:ascii="Times New Roman" w:hAnsi="Times New Roman" w:hint="eastAsia"/>
          <w:szCs w:val="21"/>
        </w:rPr>
        <w:t xml:space="preserve">. </w:t>
      </w:r>
      <w:r>
        <w:rPr>
          <w:rFonts w:ascii="Times New Roman" w:hAnsi="Times New Roman" w:hint="eastAsia"/>
          <w:szCs w:val="21"/>
        </w:rPr>
        <w:t>数字经济对劳动力市场的影响综述</w:t>
      </w:r>
      <w:r>
        <w:rPr>
          <w:rFonts w:ascii="Times New Roman" w:hAnsi="Times New Roman" w:hint="eastAsia"/>
          <w:szCs w:val="21"/>
        </w:rPr>
        <w:t xml:space="preserve">[J]. </w:t>
      </w:r>
      <w:r>
        <w:rPr>
          <w:rFonts w:ascii="Times New Roman" w:hAnsi="Times New Roman" w:hint="eastAsia"/>
          <w:szCs w:val="21"/>
        </w:rPr>
        <w:t>合作经济与科技</w:t>
      </w:r>
      <w:r>
        <w:rPr>
          <w:rFonts w:ascii="Times New Roman" w:hAnsi="Times New Roman" w:hint="eastAsia"/>
          <w:szCs w:val="21"/>
        </w:rPr>
        <w:t>(14):2.</w:t>
      </w:r>
    </w:p>
    <w:p w14:paraId="20ECE3BC"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李怡</w:t>
      </w:r>
      <w:r>
        <w:rPr>
          <w:rFonts w:ascii="Times New Roman" w:hAnsi="Times New Roman" w:hint="eastAsia"/>
          <w:szCs w:val="21"/>
        </w:rPr>
        <w:t>,</w:t>
      </w:r>
      <w:r>
        <w:rPr>
          <w:rFonts w:ascii="Times New Roman" w:hAnsi="Times New Roman" w:hint="eastAsia"/>
          <w:szCs w:val="21"/>
        </w:rPr>
        <w:t>柯杰升</w:t>
      </w:r>
      <w:r>
        <w:rPr>
          <w:rFonts w:ascii="Times New Roman" w:hAnsi="Times New Roman" w:hint="eastAsia"/>
          <w:szCs w:val="21"/>
        </w:rPr>
        <w:t>.</w:t>
      </w:r>
      <w:r>
        <w:rPr>
          <w:rFonts w:ascii="Times New Roman" w:hAnsi="Times New Roman" w:hint="eastAsia"/>
          <w:szCs w:val="21"/>
        </w:rPr>
        <w:t>三级数字鸿沟：农村数字经济的收入增长和收入分配效应</w:t>
      </w:r>
      <w:r>
        <w:rPr>
          <w:rFonts w:ascii="Times New Roman" w:hAnsi="Times New Roman" w:hint="eastAsia"/>
          <w:szCs w:val="21"/>
        </w:rPr>
        <w:t>[J].</w:t>
      </w:r>
      <w:r>
        <w:rPr>
          <w:rFonts w:ascii="Times New Roman" w:hAnsi="Times New Roman" w:hint="eastAsia"/>
          <w:szCs w:val="21"/>
        </w:rPr>
        <w:t>农业技术经济</w:t>
      </w:r>
      <w:r>
        <w:rPr>
          <w:rFonts w:ascii="Times New Roman" w:hAnsi="Times New Roman" w:hint="eastAsia"/>
          <w:szCs w:val="21"/>
        </w:rPr>
        <w:t>,2021(08):119-132.</w:t>
      </w:r>
    </w:p>
    <w:p w14:paraId="3AE96B87" w14:textId="77777777" w:rsidR="00602083" w:rsidRDefault="00E51994">
      <w:pPr>
        <w:pStyle w:val="aff7"/>
        <w:numPr>
          <w:ilvl w:val="0"/>
          <w:numId w:val="3"/>
        </w:numPr>
        <w:adjustRightInd w:val="0"/>
        <w:spacing w:line="360" w:lineRule="auto"/>
        <w:ind w:firstLineChars="0"/>
        <w:jc w:val="left"/>
        <w:rPr>
          <w:rFonts w:ascii="Times New Roman" w:hAnsi="Times New Roman"/>
          <w:szCs w:val="21"/>
        </w:rPr>
      </w:pPr>
      <w:r>
        <w:rPr>
          <w:rFonts w:ascii="Times New Roman" w:hAnsi="Times New Roman" w:hint="eastAsia"/>
          <w:szCs w:val="21"/>
        </w:rPr>
        <w:t>李勇坚</w:t>
      </w:r>
      <w:r>
        <w:rPr>
          <w:rFonts w:ascii="Times New Roman" w:hAnsi="Times New Roman" w:hint="eastAsia"/>
          <w:szCs w:val="21"/>
        </w:rPr>
        <w:t xml:space="preserve">. </w:t>
      </w:r>
      <w:r>
        <w:rPr>
          <w:rFonts w:ascii="Times New Roman" w:hAnsi="Times New Roman" w:hint="eastAsia"/>
          <w:szCs w:val="21"/>
        </w:rPr>
        <w:t>数字经济是就业杀手吗？</w:t>
      </w:r>
      <w:r>
        <w:rPr>
          <w:rFonts w:ascii="Times New Roman" w:hAnsi="Times New Roman" w:hint="eastAsia"/>
          <w:szCs w:val="21"/>
        </w:rPr>
        <w:t>[EB/OL]. [2021-03-15]. https://mp.weixin.qq.com/s/uOjJADdj3bjY08If8q1fjQ.</w:t>
      </w:r>
    </w:p>
    <w:p w14:paraId="27CEF7C8"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领英</w:t>
      </w:r>
      <w:r>
        <w:rPr>
          <w:rFonts w:ascii="Times New Roman" w:hAnsi="Times New Roman" w:hint="eastAsia"/>
          <w:szCs w:val="21"/>
        </w:rPr>
        <w:t>.</w:t>
      </w:r>
      <w:r>
        <w:rPr>
          <w:rFonts w:ascii="Times New Roman" w:hAnsi="Times New Roman" w:hint="eastAsia"/>
          <w:szCs w:val="21"/>
        </w:rPr>
        <w:t>中国新兴职业报告</w:t>
      </w:r>
      <w:r>
        <w:rPr>
          <w:rFonts w:ascii="Times New Roman" w:hAnsi="Times New Roman" w:hint="eastAsia"/>
          <w:szCs w:val="21"/>
        </w:rPr>
        <w:t>[R].2019.02</w:t>
      </w:r>
    </w:p>
    <w:p w14:paraId="4A04700C"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陆铭</w:t>
      </w:r>
      <w:r>
        <w:rPr>
          <w:rFonts w:ascii="Times New Roman" w:hAnsi="Times New Roman" w:hint="eastAsia"/>
          <w:szCs w:val="21"/>
        </w:rPr>
        <w:t xml:space="preserve">. </w:t>
      </w:r>
      <w:r>
        <w:rPr>
          <w:rFonts w:ascii="Times New Roman" w:hAnsi="Times New Roman" w:hint="eastAsia"/>
          <w:szCs w:val="21"/>
        </w:rPr>
        <w:t>大城市不需要低端劳动力吗</w:t>
      </w:r>
      <w:r>
        <w:rPr>
          <w:rFonts w:ascii="Times New Roman" w:hAnsi="Times New Roman" w:hint="eastAsia"/>
          <w:szCs w:val="21"/>
        </w:rPr>
        <w:t xml:space="preserve">?[J]. </w:t>
      </w:r>
      <w:r>
        <w:rPr>
          <w:rFonts w:ascii="Times New Roman" w:hAnsi="Times New Roman" w:hint="eastAsia"/>
          <w:szCs w:val="21"/>
        </w:rPr>
        <w:t>上海国资</w:t>
      </w:r>
      <w:r>
        <w:rPr>
          <w:rFonts w:ascii="Times New Roman" w:hAnsi="Times New Roman" w:hint="eastAsia"/>
          <w:szCs w:val="21"/>
        </w:rPr>
        <w:t>, 2016(6</w:t>
      </w:r>
      <w:r>
        <w:rPr>
          <w:rFonts w:ascii="Times New Roman" w:hAnsi="Times New Roman" w:hint="eastAsia"/>
          <w:szCs w:val="21"/>
        </w:rPr>
        <w:t>期</w:t>
      </w:r>
      <w:r>
        <w:rPr>
          <w:rFonts w:ascii="Times New Roman" w:hAnsi="Times New Roman" w:hint="eastAsia"/>
          <w:szCs w:val="21"/>
        </w:rPr>
        <w:t>):17-17.</w:t>
      </w:r>
    </w:p>
    <w:p w14:paraId="274B65A3"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美团研究院</w:t>
      </w:r>
      <w:r>
        <w:rPr>
          <w:rFonts w:ascii="Times New Roman" w:hAnsi="Times New Roman" w:hint="eastAsia"/>
          <w:szCs w:val="21"/>
        </w:rPr>
        <w:t>.2020</w:t>
      </w:r>
      <w:r>
        <w:rPr>
          <w:rFonts w:ascii="Times New Roman" w:hAnsi="Times New Roman" w:hint="eastAsia"/>
          <w:szCs w:val="21"/>
        </w:rPr>
        <w:t>年上半年骑手就业报告</w:t>
      </w:r>
      <w:r>
        <w:rPr>
          <w:rFonts w:ascii="Times New Roman" w:hAnsi="Times New Roman" w:hint="eastAsia"/>
          <w:szCs w:val="21"/>
        </w:rPr>
        <w:t>[R].2020-07</w:t>
      </w:r>
    </w:p>
    <w:p w14:paraId="1286D990"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清华大学社会科学学院企业责任与社会发展研究中心</w:t>
      </w:r>
      <w:r>
        <w:rPr>
          <w:rFonts w:ascii="Times New Roman" w:hAnsi="Times New Roman" w:hint="eastAsia"/>
          <w:szCs w:val="21"/>
        </w:rPr>
        <w:t xml:space="preserve">.2021 </w:t>
      </w:r>
      <w:r>
        <w:rPr>
          <w:rFonts w:ascii="Times New Roman" w:hAnsi="Times New Roman" w:hint="eastAsia"/>
          <w:szCs w:val="21"/>
        </w:rPr>
        <w:t>年中国一线城市出行平台调研报告</w:t>
      </w:r>
      <w:r>
        <w:rPr>
          <w:rFonts w:ascii="Times New Roman" w:hAnsi="Times New Roman" w:hint="eastAsia"/>
          <w:szCs w:val="21"/>
        </w:rPr>
        <w:t>[R].2021-05</w:t>
      </w:r>
    </w:p>
    <w:p w14:paraId="5A551764"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宋锦</w:t>
      </w:r>
      <w:r>
        <w:rPr>
          <w:rFonts w:ascii="Times New Roman" w:hAnsi="Times New Roman" w:hint="eastAsia"/>
          <w:szCs w:val="21"/>
        </w:rPr>
        <w:t>.</w:t>
      </w:r>
      <w:r>
        <w:rPr>
          <w:rFonts w:ascii="Times New Roman" w:hAnsi="Times New Roman" w:hint="eastAsia"/>
          <w:szCs w:val="21"/>
        </w:rPr>
        <w:t>产业转型、就业结构调整与收入分配</w:t>
      </w:r>
      <w:r>
        <w:rPr>
          <w:rFonts w:ascii="Times New Roman" w:hAnsi="Times New Roman" w:hint="eastAsia"/>
          <w:szCs w:val="21"/>
        </w:rPr>
        <w:t>[J].</w:t>
      </w:r>
      <w:r>
        <w:rPr>
          <w:rFonts w:ascii="Times New Roman" w:hAnsi="Times New Roman" w:hint="eastAsia"/>
          <w:szCs w:val="21"/>
        </w:rPr>
        <w:t>经济与管理研究</w:t>
      </w:r>
      <w:r>
        <w:rPr>
          <w:rFonts w:ascii="Times New Roman" w:hAnsi="Times New Roman" w:hint="eastAsia"/>
          <w:szCs w:val="21"/>
        </w:rPr>
        <w:t>,2018,39(10):45-56.</w:t>
      </w:r>
    </w:p>
    <w:p w14:paraId="0D6F4C5F"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孙杰</w:t>
      </w:r>
      <w:r>
        <w:rPr>
          <w:rFonts w:ascii="Times New Roman" w:hAnsi="Times New Roman" w:hint="eastAsia"/>
          <w:szCs w:val="21"/>
        </w:rPr>
        <w:t xml:space="preserve">. </w:t>
      </w:r>
      <w:r>
        <w:rPr>
          <w:rFonts w:ascii="Times New Roman" w:hAnsi="Times New Roman" w:hint="eastAsia"/>
          <w:szCs w:val="21"/>
        </w:rPr>
        <w:t>从数字经济到数字贸易</w:t>
      </w:r>
      <w:r>
        <w:rPr>
          <w:rFonts w:ascii="Times New Roman" w:hAnsi="Times New Roman" w:hint="eastAsia"/>
          <w:szCs w:val="21"/>
        </w:rPr>
        <w:t>:</w:t>
      </w:r>
      <w:r>
        <w:rPr>
          <w:rFonts w:ascii="Times New Roman" w:hAnsi="Times New Roman" w:hint="eastAsia"/>
          <w:szCs w:val="21"/>
        </w:rPr>
        <w:t>内涵</w:t>
      </w:r>
      <w:r>
        <w:rPr>
          <w:rFonts w:ascii="Times New Roman" w:hAnsi="Times New Roman" w:hint="eastAsia"/>
          <w:szCs w:val="21"/>
        </w:rPr>
        <w:t>,</w:t>
      </w:r>
      <w:r>
        <w:rPr>
          <w:rFonts w:ascii="Times New Roman" w:hAnsi="Times New Roman" w:hint="eastAsia"/>
          <w:szCs w:val="21"/>
        </w:rPr>
        <w:t>特征</w:t>
      </w:r>
      <w:r>
        <w:rPr>
          <w:rFonts w:ascii="Times New Roman" w:hAnsi="Times New Roman" w:hint="eastAsia"/>
          <w:szCs w:val="21"/>
        </w:rPr>
        <w:t>,</w:t>
      </w:r>
      <w:r>
        <w:rPr>
          <w:rFonts w:ascii="Times New Roman" w:hAnsi="Times New Roman" w:hint="eastAsia"/>
          <w:szCs w:val="21"/>
        </w:rPr>
        <w:t>规则与影响</w:t>
      </w:r>
      <w:r>
        <w:rPr>
          <w:rFonts w:ascii="Times New Roman" w:hAnsi="Times New Roman" w:hint="eastAsia"/>
          <w:szCs w:val="21"/>
        </w:rPr>
        <w:t>[J]. 2021(2020-5):87-98.</w:t>
      </w:r>
    </w:p>
    <w:p w14:paraId="01D1815A"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汪雁</w:t>
      </w:r>
      <w:r>
        <w:rPr>
          <w:rFonts w:ascii="Times New Roman" w:hAnsi="Times New Roman" w:hint="eastAsia"/>
          <w:szCs w:val="21"/>
        </w:rPr>
        <w:t>,</w:t>
      </w:r>
      <w:r>
        <w:rPr>
          <w:rFonts w:ascii="Times New Roman" w:hAnsi="Times New Roman" w:hint="eastAsia"/>
          <w:szCs w:val="21"/>
        </w:rPr>
        <w:t>张丽华</w:t>
      </w:r>
      <w:r>
        <w:rPr>
          <w:rFonts w:ascii="Times New Roman" w:hAnsi="Times New Roman" w:hint="eastAsia"/>
          <w:szCs w:val="21"/>
        </w:rPr>
        <w:t>.</w:t>
      </w:r>
      <w:r>
        <w:rPr>
          <w:rFonts w:ascii="Times New Roman" w:hAnsi="Times New Roman" w:hint="eastAsia"/>
          <w:szCs w:val="21"/>
        </w:rPr>
        <w:t>关于我国共享经济新就业形态的研究</w:t>
      </w:r>
      <w:r>
        <w:rPr>
          <w:rFonts w:ascii="Times New Roman" w:hAnsi="Times New Roman" w:hint="eastAsia"/>
          <w:szCs w:val="21"/>
        </w:rPr>
        <w:t>[J].</w:t>
      </w:r>
      <w:r>
        <w:rPr>
          <w:rFonts w:ascii="Times New Roman" w:hAnsi="Times New Roman" w:hint="eastAsia"/>
          <w:szCs w:val="21"/>
        </w:rPr>
        <w:t>中国劳动关系学院学报</w:t>
      </w:r>
      <w:r>
        <w:rPr>
          <w:rFonts w:ascii="Times New Roman" w:hAnsi="Times New Roman" w:hint="eastAsia"/>
          <w:szCs w:val="21"/>
        </w:rPr>
        <w:t>,2019,33(02):49-59+98.</w:t>
      </w:r>
    </w:p>
    <w:p w14:paraId="5D5C0CF2"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翁杰</w:t>
      </w:r>
      <w:r>
        <w:rPr>
          <w:rFonts w:ascii="Times New Roman" w:hAnsi="Times New Roman" w:hint="eastAsia"/>
          <w:szCs w:val="21"/>
        </w:rPr>
        <w:t>.</w:t>
      </w:r>
      <w:r>
        <w:rPr>
          <w:rFonts w:ascii="Times New Roman" w:hAnsi="Times New Roman" w:hint="eastAsia"/>
          <w:szCs w:val="21"/>
        </w:rPr>
        <w:t>制造业部门的就业调整和收入分配变动</w:t>
      </w:r>
      <w:r>
        <w:rPr>
          <w:rFonts w:ascii="Times New Roman" w:hAnsi="Times New Roman" w:hint="eastAsia"/>
          <w:szCs w:val="21"/>
        </w:rPr>
        <w:t>:</w:t>
      </w:r>
      <w:r>
        <w:rPr>
          <w:rFonts w:ascii="Times New Roman" w:hAnsi="Times New Roman" w:hint="eastAsia"/>
          <w:szCs w:val="21"/>
        </w:rPr>
        <w:t>经验和启示</w:t>
      </w:r>
      <w:r>
        <w:rPr>
          <w:rFonts w:ascii="Times New Roman" w:hAnsi="Times New Roman" w:hint="eastAsia"/>
          <w:szCs w:val="21"/>
        </w:rPr>
        <w:t>[J].</w:t>
      </w:r>
      <w:r>
        <w:rPr>
          <w:rFonts w:ascii="Times New Roman" w:hAnsi="Times New Roman" w:hint="eastAsia"/>
          <w:szCs w:val="21"/>
        </w:rPr>
        <w:t>当代财经</w:t>
      </w:r>
      <w:r>
        <w:rPr>
          <w:rFonts w:ascii="Times New Roman" w:hAnsi="Times New Roman" w:hint="eastAsia"/>
          <w:szCs w:val="21"/>
        </w:rPr>
        <w:t>,2016(05):87-97.</w:t>
      </w:r>
    </w:p>
    <w:p w14:paraId="2F69830C"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携程</w:t>
      </w:r>
      <w:r>
        <w:rPr>
          <w:rFonts w:ascii="Times New Roman" w:hAnsi="Times New Roman" w:hint="eastAsia"/>
          <w:szCs w:val="21"/>
        </w:rPr>
        <w:t>.</w:t>
      </w:r>
      <w:r>
        <w:rPr>
          <w:rFonts w:ascii="Times New Roman" w:hAnsi="Times New Roman" w:hint="eastAsia"/>
          <w:szCs w:val="21"/>
        </w:rPr>
        <w:t>旅游新职业女性从业报告（</w:t>
      </w:r>
      <w:r>
        <w:rPr>
          <w:rFonts w:ascii="Times New Roman" w:hAnsi="Times New Roman" w:hint="eastAsia"/>
          <w:szCs w:val="21"/>
        </w:rPr>
        <w:t>2019</w:t>
      </w:r>
      <w:r>
        <w:rPr>
          <w:rFonts w:ascii="Times New Roman" w:hAnsi="Times New Roman" w:hint="eastAsia"/>
          <w:szCs w:val="21"/>
        </w:rPr>
        <w:t>）</w:t>
      </w:r>
      <w:r>
        <w:rPr>
          <w:rFonts w:ascii="Times New Roman" w:hAnsi="Times New Roman" w:hint="eastAsia"/>
          <w:szCs w:val="21"/>
        </w:rPr>
        <w:t>[R].2019-03</w:t>
      </w:r>
    </w:p>
    <w:p w14:paraId="7DD539C0"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杨飞虎</w:t>
      </w:r>
      <w:r>
        <w:rPr>
          <w:rFonts w:ascii="Times New Roman" w:hAnsi="Times New Roman" w:hint="eastAsia"/>
          <w:szCs w:val="21"/>
        </w:rPr>
        <w:t>,</w:t>
      </w:r>
      <w:r>
        <w:rPr>
          <w:rFonts w:ascii="Times New Roman" w:hAnsi="Times New Roman" w:hint="eastAsia"/>
          <w:szCs w:val="21"/>
        </w:rPr>
        <w:t>张玉雯</w:t>
      </w:r>
      <w:r>
        <w:rPr>
          <w:rFonts w:ascii="Times New Roman" w:hAnsi="Times New Roman" w:hint="eastAsia"/>
          <w:szCs w:val="21"/>
        </w:rPr>
        <w:t>,</w:t>
      </w:r>
      <w:r>
        <w:rPr>
          <w:rFonts w:ascii="Times New Roman" w:hAnsi="Times New Roman" w:hint="eastAsia"/>
          <w:szCs w:val="21"/>
        </w:rPr>
        <w:t>吕佳璇</w:t>
      </w:r>
      <w:r>
        <w:rPr>
          <w:rFonts w:ascii="Times New Roman" w:hAnsi="Times New Roman" w:hint="eastAsia"/>
          <w:szCs w:val="21"/>
        </w:rPr>
        <w:t>.</w:t>
      </w:r>
      <w:r>
        <w:rPr>
          <w:rFonts w:ascii="Times New Roman" w:hAnsi="Times New Roman" w:hint="eastAsia"/>
          <w:szCs w:val="21"/>
        </w:rPr>
        <w:t>数字经济时代中国稳就业的挑战及政策建议</w:t>
      </w:r>
      <w:r>
        <w:rPr>
          <w:rFonts w:ascii="Times New Roman" w:hAnsi="Times New Roman" w:hint="eastAsia"/>
          <w:szCs w:val="21"/>
        </w:rPr>
        <w:t>[J/OL].</w:t>
      </w:r>
      <w:r>
        <w:rPr>
          <w:rFonts w:ascii="Times New Roman" w:hAnsi="Times New Roman" w:hint="eastAsia"/>
          <w:szCs w:val="21"/>
        </w:rPr>
        <w:t>东北财经大学学报</w:t>
      </w:r>
      <w:r>
        <w:rPr>
          <w:rFonts w:ascii="Times New Roman" w:hAnsi="Times New Roman" w:hint="eastAsia"/>
          <w:szCs w:val="21"/>
        </w:rPr>
        <w:t>:1-8[2021-08-27].https://doi.org/10.19653/j.cnki.dbcjdxxb.2021.05.007.</w:t>
      </w:r>
    </w:p>
    <w:p w14:paraId="78156525"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杨巨</w:t>
      </w:r>
      <w:r>
        <w:rPr>
          <w:rFonts w:ascii="Times New Roman" w:hAnsi="Times New Roman" w:hint="eastAsia"/>
          <w:szCs w:val="21"/>
        </w:rPr>
        <w:t>.</w:t>
      </w:r>
      <w:r>
        <w:rPr>
          <w:rFonts w:ascii="Times New Roman" w:hAnsi="Times New Roman" w:hint="eastAsia"/>
          <w:szCs w:val="21"/>
        </w:rPr>
        <w:t>初次收入分配与技术进步——基于马克思主义经济学的视角</w:t>
      </w:r>
      <w:r>
        <w:rPr>
          <w:rFonts w:ascii="Times New Roman" w:hAnsi="Times New Roman" w:hint="eastAsia"/>
          <w:szCs w:val="21"/>
        </w:rPr>
        <w:t>[J].</w:t>
      </w:r>
      <w:r>
        <w:rPr>
          <w:rFonts w:ascii="Times New Roman" w:hAnsi="Times New Roman" w:hint="eastAsia"/>
          <w:szCs w:val="21"/>
        </w:rPr>
        <w:t>经济评论</w:t>
      </w:r>
      <w:r>
        <w:rPr>
          <w:rFonts w:ascii="Times New Roman" w:hAnsi="Times New Roman" w:hint="eastAsia"/>
          <w:szCs w:val="21"/>
        </w:rPr>
        <w:t>,2012(03):11-19.</w:t>
      </w:r>
    </w:p>
    <w:p w14:paraId="67D639F2"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中国社科院战略研究所</w:t>
      </w:r>
      <w:r>
        <w:rPr>
          <w:rFonts w:ascii="Times New Roman" w:hAnsi="Times New Roman" w:hint="eastAsia"/>
          <w:szCs w:val="21"/>
        </w:rPr>
        <w:t xml:space="preserve">, </w:t>
      </w:r>
      <w:r>
        <w:rPr>
          <w:rFonts w:ascii="Times New Roman" w:hAnsi="Times New Roman" w:hint="eastAsia"/>
          <w:szCs w:val="21"/>
        </w:rPr>
        <w:t>阿里云研究中心</w:t>
      </w:r>
      <w:r>
        <w:rPr>
          <w:rFonts w:ascii="Times New Roman" w:hAnsi="Times New Roman" w:hint="eastAsia"/>
          <w:szCs w:val="21"/>
        </w:rPr>
        <w:t xml:space="preserve">. </w:t>
      </w:r>
      <w:r>
        <w:rPr>
          <w:rFonts w:ascii="Times New Roman" w:hAnsi="Times New Roman" w:hint="eastAsia"/>
          <w:szCs w:val="21"/>
        </w:rPr>
        <w:t>云计算的社会经济价值和区域发展评估</w:t>
      </w:r>
      <w:r>
        <w:rPr>
          <w:rFonts w:ascii="Times New Roman" w:hAnsi="Times New Roman" w:hint="eastAsia"/>
          <w:szCs w:val="21"/>
        </w:rPr>
        <w:t>[R]. 2020-09.</w:t>
      </w:r>
    </w:p>
    <w:p w14:paraId="2079DC59"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中国物流与采购联合会</w:t>
      </w:r>
      <w:r>
        <w:rPr>
          <w:rFonts w:ascii="Times New Roman" w:hAnsi="Times New Roman" w:hint="eastAsia"/>
          <w:szCs w:val="21"/>
        </w:rPr>
        <w:t>.2021</w:t>
      </w:r>
      <w:r>
        <w:rPr>
          <w:rFonts w:ascii="Times New Roman" w:hAnsi="Times New Roman" w:hint="eastAsia"/>
          <w:szCs w:val="21"/>
        </w:rPr>
        <w:t>年货车司机从业状况调查报告</w:t>
      </w:r>
      <w:r>
        <w:rPr>
          <w:rFonts w:ascii="Times New Roman" w:hAnsi="Times New Roman" w:hint="eastAsia"/>
          <w:szCs w:val="21"/>
        </w:rPr>
        <w:t>[R].2021-06</w:t>
      </w:r>
    </w:p>
    <w:p w14:paraId="7E06F73A"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中国信息通信研究院</w:t>
      </w:r>
      <w:r>
        <w:rPr>
          <w:rFonts w:ascii="Times New Roman" w:hAnsi="Times New Roman" w:hint="eastAsia"/>
          <w:szCs w:val="21"/>
        </w:rPr>
        <w:t>.</w:t>
      </w:r>
      <w:r>
        <w:rPr>
          <w:rFonts w:ascii="Times New Roman" w:hAnsi="Times New Roman" w:hint="eastAsia"/>
          <w:szCs w:val="21"/>
        </w:rPr>
        <w:t>数字化就业新职业新岗位报告</w:t>
      </w:r>
      <w:r>
        <w:rPr>
          <w:rFonts w:ascii="Times New Roman" w:hAnsi="Times New Roman" w:hint="eastAsia"/>
          <w:szCs w:val="21"/>
        </w:rPr>
        <w:t>[R].2021-04</w:t>
      </w:r>
    </w:p>
    <w:p w14:paraId="6C477569"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中国信息通信研究院</w:t>
      </w:r>
      <w:r>
        <w:rPr>
          <w:rFonts w:ascii="Times New Roman" w:hAnsi="Times New Roman" w:hint="eastAsia"/>
          <w:szCs w:val="21"/>
        </w:rPr>
        <w:t>.</w:t>
      </w:r>
      <w:r>
        <w:rPr>
          <w:rFonts w:ascii="Times New Roman" w:hAnsi="Times New Roman" w:hint="eastAsia"/>
          <w:szCs w:val="21"/>
        </w:rPr>
        <w:t>数字经济就业影响研究报告</w:t>
      </w:r>
      <w:r>
        <w:rPr>
          <w:rFonts w:ascii="Times New Roman" w:hAnsi="Times New Roman" w:hint="eastAsia"/>
          <w:szCs w:val="21"/>
        </w:rPr>
        <w:t>[R].2021.10</w:t>
      </w:r>
    </w:p>
    <w:p w14:paraId="0C703B67"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lastRenderedPageBreak/>
        <w:t>中国信息通信研究院</w:t>
      </w:r>
      <w:r>
        <w:rPr>
          <w:rFonts w:ascii="Times New Roman" w:hAnsi="Times New Roman" w:hint="eastAsia"/>
          <w:szCs w:val="21"/>
        </w:rPr>
        <w:t>.</w:t>
      </w:r>
      <w:r>
        <w:rPr>
          <w:rFonts w:ascii="Times New Roman" w:hAnsi="Times New Roman" w:hint="eastAsia"/>
          <w:szCs w:val="21"/>
        </w:rPr>
        <w:t>中国数字经济发展白皮书</w:t>
      </w:r>
      <w:r>
        <w:rPr>
          <w:rFonts w:ascii="Times New Roman" w:hAnsi="Times New Roman" w:hint="eastAsia"/>
          <w:szCs w:val="21"/>
        </w:rPr>
        <w:t>[R].2021-04</w:t>
      </w:r>
    </w:p>
    <w:p w14:paraId="48A39471"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中国邮政快递报社</w:t>
      </w:r>
      <w:r>
        <w:rPr>
          <w:rFonts w:ascii="Times New Roman" w:hAnsi="Times New Roman" w:hint="eastAsia"/>
          <w:szCs w:val="21"/>
        </w:rPr>
        <w:t>.2019</w:t>
      </w:r>
      <w:r>
        <w:rPr>
          <w:rFonts w:ascii="Times New Roman" w:hAnsi="Times New Roman" w:hint="eastAsia"/>
          <w:szCs w:val="21"/>
        </w:rPr>
        <w:t>年全国快递从业人员职业调查报告</w:t>
      </w:r>
      <w:r>
        <w:rPr>
          <w:rFonts w:ascii="Times New Roman" w:hAnsi="Times New Roman" w:hint="eastAsia"/>
          <w:szCs w:val="21"/>
        </w:rPr>
        <w:t>[R].2020-01</w:t>
      </w:r>
    </w:p>
    <w:p w14:paraId="46828B77"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中华女子学院、阿里研究院</w:t>
      </w:r>
      <w:r>
        <w:rPr>
          <w:rFonts w:ascii="Times New Roman" w:hAnsi="Times New Roman" w:hint="eastAsia"/>
          <w:szCs w:val="21"/>
        </w:rPr>
        <w:t>,2019</w:t>
      </w:r>
      <w:r>
        <w:rPr>
          <w:rFonts w:ascii="Times New Roman" w:hAnsi="Times New Roman" w:hint="eastAsia"/>
          <w:szCs w:val="21"/>
        </w:rPr>
        <w:t>阿里巴巴全球女性创业就业研究报告</w:t>
      </w:r>
      <w:r>
        <w:rPr>
          <w:rFonts w:ascii="Times New Roman" w:hAnsi="Times New Roman" w:hint="eastAsia"/>
          <w:szCs w:val="21"/>
        </w:rPr>
        <w:t>[R].2019.09</w:t>
      </w:r>
    </w:p>
    <w:p w14:paraId="192D3AF6" w14:textId="77777777" w:rsidR="00602083" w:rsidRDefault="00E51994">
      <w:pPr>
        <w:pStyle w:val="aff7"/>
        <w:numPr>
          <w:ilvl w:val="0"/>
          <w:numId w:val="3"/>
        </w:numPr>
        <w:adjustRightInd w:val="0"/>
        <w:spacing w:line="360" w:lineRule="auto"/>
        <w:ind w:firstLineChars="0"/>
        <w:rPr>
          <w:rFonts w:ascii="Times New Roman" w:hAnsi="Times New Roman"/>
          <w:szCs w:val="21"/>
        </w:rPr>
      </w:pPr>
      <w:r>
        <w:rPr>
          <w:rFonts w:ascii="Times New Roman" w:hAnsi="Times New Roman" w:hint="eastAsia"/>
          <w:szCs w:val="21"/>
        </w:rPr>
        <w:t>中商产业研究院</w:t>
      </w:r>
      <w:r>
        <w:rPr>
          <w:rFonts w:ascii="Times New Roman" w:hAnsi="Times New Roman" w:hint="eastAsia"/>
          <w:szCs w:val="21"/>
        </w:rPr>
        <w:t>.2020</w:t>
      </w:r>
      <w:r>
        <w:rPr>
          <w:rFonts w:ascii="Times New Roman" w:hAnsi="Times New Roman" w:hint="eastAsia"/>
          <w:szCs w:val="21"/>
        </w:rPr>
        <w:t>年中国直播相关企业注册量及区域分布分析</w:t>
      </w:r>
      <w:r>
        <w:rPr>
          <w:rFonts w:ascii="Times New Roman" w:hAnsi="Times New Roman" w:hint="eastAsia"/>
          <w:szCs w:val="21"/>
        </w:rPr>
        <w:t>[R]..2020.09</w:t>
      </w:r>
    </w:p>
    <w:p w14:paraId="773BA3F7" w14:textId="77777777" w:rsidR="00602083" w:rsidRDefault="00602083">
      <w:pPr>
        <w:spacing w:line="360" w:lineRule="auto"/>
        <w:ind w:firstLineChars="0" w:firstLine="0"/>
        <w:rPr>
          <w:rFonts w:eastAsia="宋体" w:cs="黑体"/>
          <w:sz w:val="21"/>
          <w:szCs w:val="21"/>
        </w:rPr>
      </w:pPr>
    </w:p>
    <w:p w14:paraId="460E2833" w14:textId="77777777" w:rsidR="00602083" w:rsidRDefault="00E51994">
      <w:pPr>
        <w:widowControl/>
        <w:spacing w:line="240" w:lineRule="auto"/>
        <w:ind w:firstLineChars="0" w:firstLine="0"/>
        <w:jc w:val="left"/>
        <w:rPr>
          <w:rFonts w:eastAsia="宋体" w:cstheme="minorBidi"/>
          <w:sz w:val="24"/>
          <w:szCs w:val="20"/>
        </w:rPr>
      </w:pPr>
      <w:r>
        <w:rPr>
          <w:rFonts w:eastAsia="宋体" w:cstheme="minorBidi"/>
          <w:sz w:val="24"/>
          <w:szCs w:val="20"/>
        </w:rPr>
        <w:br w:type="page"/>
      </w:r>
    </w:p>
    <w:tbl>
      <w:tblPr>
        <w:tblStyle w:val="afe"/>
        <w:tblW w:w="44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5242"/>
      </w:tblGrid>
      <w:tr w:rsidR="00602083" w14:paraId="4F3C3177" w14:textId="77777777">
        <w:trPr>
          <w:trHeight w:val="481"/>
          <w:jc w:val="center"/>
        </w:trPr>
        <w:tc>
          <w:tcPr>
            <w:tcW w:w="5000" w:type="pct"/>
            <w:gridSpan w:val="2"/>
            <w:vAlign w:val="center"/>
          </w:tcPr>
          <w:p w14:paraId="282914E7" w14:textId="77777777" w:rsidR="00602083" w:rsidRDefault="00E51994">
            <w:pPr>
              <w:ind w:firstLine="643"/>
              <w:jc w:val="center"/>
              <w:rPr>
                <w:rFonts w:ascii="宋体" w:eastAsia="宋体" w:hAnsi="宋体"/>
                <w:b/>
                <w:sz w:val="32"/>
                <w:szCs w:val="32"/>
              </w:rPr>
            </w:pPr>
            <w:bookmarkStart w:id="176" w:name="_Toc11888"/>
            <w:bookmarkStart w:id="177" w:name="_Toc93825926"/>
            <w:bookmarkStart w:id="178" w:name="_Toc7977"/>
            <w:bookmarkStart w:id="179" w:name="_Toc92201565"/>
            <w:bookmarkStart w:id="180" w:name="_Toc92201568"/>
            <w:bookmarkStart w:id="181" w:name="_Toc25997"/>
            <w:bookmarkStart w:id="182" w:name="_Toc93825929"/>
            <w:bookmarkStart w:id="183" w:name="_Hlk93942579"/>
            <w:r>
              <w:rPr>
                <w:rFonts w:ascii="宋体" w:eastAsia="宋体" w:hAnsi="宋体" w:hint="eastAsia"/>
                <w:b/>
                <w:sz w:val="32"/>
                <w:szCs w:val="32"/>
              </w:rPr>
              <w:lastRenderedPageBreak/>
              <w:t>项目组成员</w:t>
            </w:r>
            <w:bookmarkEnd w:id="176"/>
            <w:bookmarkEnd w:id="177"/>
            <w:bookmarkEnd w:id="178"/>
            <w:bookmarkEnd w:id="179"/>
          </w:p>
          <w:bookmarkEnd w:id="180"/>
          <w:bookmarkEnd w:id="181"/>
          <w:bookmarkEnd w:id="182"/>
          <w:p w14:paraId="4B13BCBB" w14:textId="77777777" w:rsidR="00602083" w:rsidRDefault="00602083">
            <w:pPr>
              <w:spacing w:line="360" w:lineRule="auto"/>
              <w:ind w:firstLineChars="0" w:firstLine="0"/>
              <w:jc w:val="center"/>
              <w:rPr>
                <w:rFonts w:ascii="宋体" w:eastAsia="宋体" w:hAnsi="宋体"/>
                <w:szCs w:val="30"/>
              </w:rPr>
            </w:pPr>
          </w:p>
        </w:tc>
      </w:tr>
      <w:tr w:rsidR="00602083" w14:paraId="3B6695E1" w14:textId="77777777">
        <w:trPr>
          <w:trHeight w:val="481"/>
          <w:jc w:val="center"/>
        </w:trPr>
        <w:tc>
          <w:tcPr>
            <w:tcW w:w="1627" w:type="pct"/>
            <w:vAlign w:val="center"/>
          </w:tcPr>
          <w:p w14:paraId="534292C6"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赵文景</w:t>
            </w:r>
          </w:p>
        </w:tc>
        <w:tc>
          <w:tcPr>
            <w:tcW w:w="3372" w:type="pct"/>
            <w:vAlign w:val="center"/>
          </w:tcPr>
          <w:p w14:paraId="3C058907"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信息化和产业发展部</w:t>
            </w:r>
          </w:p>
        </w:tc>
      </w:tr>
      <w:tr w:rsidR="00602083" w14:paraId="5C4B3A52" w14:textId="77777777">
        <w:trPr>
          <w:trHeight w:val="481"/>
          <w:jc w:val="center"/>
        </w:trPr>
        <w:tc>
          <w:tcPr>
            <w:tcW w:w="1627" w:type="pct"/>
            <w:vAlign w:val="center"/>
          </w:tcPr>
          <w:p w14:paraId="6990A563"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关乐宁</w:t>
            </w:r>
          </w:p>
        </w:tc>
        <w:tc>
          <w:tcPr>
            <w:tcW w:w="3372" w:type="pct"/>
            <w:vAlign w:val="center"/>
          </w:tcPr>
          <w:p w14:paraId="6D25C032"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信息化和产业发展部</w:t>
            </w:r>
          </w:p>
        </w:tc>
      </w:tr>
      <w:tr w:rsidR="00602083" w14:paraId="78066260" w14:textId="77777777">
        <w:trPr>
          <w:trHeight w:val="505"/>
          <w:jc w:val="center"/>
        </w:trPr>
        <w:tc>
          <w:tcPr>
            <w:tcW w:w="1627" w:type="pct"/>
            <w:vAlign w:val="center"/>
          </w:tcPr>
          <w:p w14:paraId="4D0934E1"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唐斯斯</w:t>
            </w:r>
          </w:p>
        </w:tc>
        <w:tc>
          <w:tcPr>
            <w:tcW w:w="3372" w:type="pct"/>
            <w:vAlign w:val="center"/>
          </w:tcPr>
          <w:p w14:paraId="753E7473" w14:textId="53E29535"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综合管理部，副研究员</w:t>
            </w:r>
            <w:r w:rsidR="00330F88">
              <w:rPr>
                <w:rFonts w:ascii="宋体" w:eastAsia="宋体" w:hAnsi="宋体" w:hint="eastAsia"/>
                <w:sz w:val="24"/>
                <w:szCs w:val="24"/>
              </w:rPr>
              <w:t>，</w:t>
            </w:r>
            <w:r>
              <w:rPr>
                <w:rFonts w:ascii="宋体" w:eastAsia="宋体" w:hAnsi="宋体" w:hint="eastAsia"/>
                <w:sz w:val="24"/>
                <w:szCs w:val="24"/>
              </w:rPr>
              <w:t>处长</w:t>
            </w:r>
          </w:p>
        </w:tc>
      </w:tr>
      <w:tr w:rsidR="00602083" w14:paraId="60FD83C0" w14:textId="77777777">
        <w:trPr>
          <w:trHeight w:val="505"/>
          <w:jc w:val="center"/>
        </w:trPr>
        <w:tc>
          <w:tcPr>
            <w:tcW w:w="1627" w:type="pct"/>
            <w:vAlign w:val="center"/>
          </w:tcPr>
          <w:p w14:paraId="27F8EDCB"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张延强</w:t>
            </w:r>
          </w:p>
        </w:tc>
        <w:tc>
          <w:tcPr>
            <w:tcW w:w="3372" w:type="pct"/>
            <w:vAlign w:val="center"/>
          </w:tcPr>
          <w:p w14:paraId="13C75466"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信息化和产业发展部，副处长</w:t>
            </w:r>
          </w:p>
        </w:tc>
      </w:tr>
      <w:tr w:rsidR="00602083" w14:paraId="257476FA" w14:textId="77777777">
        <w:trPr>
          <w:trHeight w:val="505"/>
          <w:jc w:val="center"/>
        </w:trPr>
        <w:tc>
          <w:tcPr>
            <w:tcW w:w="1627" w:type="pct"/>
            <w:vAlign w:val="center"/>
          </w:tcPr>
          <w:p w14:paraId="78B44D84"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刘绿茵</w:t>
            </w:r>
          </w:p>
        </w:tc>
        <w:tc>
          <w:tcPr>
            <w:tcW w:w="3372" w:type="pct"/>
            <w:vAlign w:val="center"/>
          </w:tcPr>
          <w:p w14:paraId="380EA8F4"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信息化和产业发展部，副研究员</w:t>
            </w:r>
          </w:p>
        </w:tc>
      </w:tr>
      <w:tr w:rsidR="00602083" w14:paraId="70275C2B" w14:textId="77777777">
        <w:trPr>
          <w:trHeight w:val="505"/>
          <w:jc w:val="center"/>
        </w:trPr>
        <w:tc>
          <w:tcPr>
            <w:tcW w:w="1627" w:type="pct"/>
            <w:vAlign w:val="center"/>
          </w:tcPr>
          <w:p w14:paraId="0005229A"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蔡丹旦</w:t>
            </w:r>
          </w:p>
        </w:tc>
        <w:tc>
          <w:tcPr>
            <w:tcW w:w="3372" w:type="pct"/>
            <w:vAlign w:val="center"/>
          </w:tcPr>
          <w:p w14:paraId="600D0FE3"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信息化和产业发展部</w:t>
            </w:r>
          </w:p>
        </w:tc>
      </w:tr>
      <w:tr w:rsidR="00602083" w14:paraId="78DCB54B" w14:textId="77777777">
        <w:trPr>
          <w:trHeight w:val="505"/>
          <w:jc w:val="center"/>
        </w:trPr>
        <w:tc>
          <w:tcPr>
            <w:tcW w:w="1627" w:type="pct"/>
            <w:vAlign w:val="center"/>
          </w:tcPr>
          <w:p w14:paraId="3107CA1E"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张雅琪</w:t>
            </w:r>
          </w:p>
        </w:tc>
        <w:tc>
          <w:tcPr>
            <w:tcW w:w="3372" w:type="pct"/>
            <w:vAlign w:val="center"/>
          </w:tcPr>
          <w:p w14:paraId="12E1BB57"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信息化和产业发展部</w:t>
            </w:r>
          </w:p>
        </w:tc>
      </w:tr>
      <w:tr w:rsidR="00602083" w14:paraId="7FE968D1" w14:textId="77777777">
        <w:trPr>
          <w:trHeight w:val="505"/>
          <w:jc w:val="center"/>
        </w:trPr>
        <w:tc>
          <w:tcPr>
            <w:tcW w:w="1627" w:type="pct"/>
            <w:vAlign w:val="center"/>
          </w:tcPr>
          <w:p w14:paraId="46240365"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徐清源</w:t>
            </w:r>
          </w:p>
        </w:tc>
        <w:tc>
          <w:tcPr>
            <w:tcW w:w="3372" w:type="pct"/>
            <w:vAlign w:val="center"/>
          </w:tcPr>
          <w:p w14:paraId="6EA30AFC" w14:textId="77777777" w:rsidR="00602083" w:rsidRDefault="00E51994">
            <w:pPr>
              <w:spacing w:line="360" w:lineRule="auto"/>
              <w:ind w:firstLineChars="0" w:firstLine="0"/>
              <w:rPr>
                <w:rFonts w:ascii="宋体" w:eastAsia="宋体" w:hAnsi="宋体"/>
                <w:sz w:val="24"/>
                <w:szCs w:val="24"/>
              </w:rPr>
            </w:pPr>
            <w:r>
              <w:rPr>
                <w:rFonts w:ascii="宋体" w:eastAsia="宋体" w:hAnsi="宋体" w:hint="eastAsia"/>
                <w:sz w:val="24"/>
                <w:szCs w:val="24"/>
              </w:rPr>
              <w:t>信息化和产业发展部</w:t>
            </w:r>
          </w:p>
        </w:tc>
      </w:tr>
    </w:tbl>
    <w:p w14:paraId="3867231F" w14:textId="77777777" w:rsidR="00602083" w:rsidRDefault="00602083">
      <w:pPr>
        <w:pStyle w:val="afffc"/>
        <w:ind w:left="3600"/>
      </w:pPr>
    </w:p>
    <w:p w14:paraId="67BB2637" w14:textId="77777777" w:rsidR="00602083" w:rsidRDefault="00602083">
      <w:pPr>
        <w:spacing w:line="360" w:lineRule="auto"/>
        <w:ind w:firstLine="480"/>
        <w:rPr>
          <w:rFonts w:eastAsia="宋体"/>
          <w:sz w:val="24"/>
          <w:szCs w:val="16"/>
        </w:rPr>
      </w:pPr>
    </w:p>
    <w:p w14:paraId="11B5F08A" w14:textId="77777777" w:rsidR="00602083" w:rsidRDefault="00602083">
      <w:pPr>
        <w:pStyle w:val="afffc"/>
      </w:pPr>
    </w:p>
    <w:p w14:paraId="0BD98879" w14:textId="77777777" w:rsidR="00602083" w:rsidRDefault="00602083">
      <w:pPr>
        <w:spacing w:line="360" w:lineRule="auto"/>
        <w:ind w:firstLine="480"/>
        <w:rPr>
          <w:rFonts w:eastAsia="宋体"/>
          <w:sz w:val="24"/>
          <w:szCs w:val="16"/>
        </w:rPr>
      </w:pPr>
    </w:p>
    <w:bookmarkEnd w:id="183"/>
    <w:p w14:paraId="33552F1F" w14:textId="77777777" w:rsidR="00602083" w:rsidRDefault="00602083">
      <w:pPr>
        <w:spacing w:line="360" w:lineRule="auto"/>
        <w:ind w:firstLine="480"/>
        <w:rPr>
          <w:rFonts w:eastAsia="宋体" w:cstheme="minorBidi"/>
          <w:sz w:val="24"/>
          <w:szCs w:val="20"/>
        </w:rPr>
      </w:pPr>
    </w:p>
    <w:p w14:paraId="65FD95B2" w14:textId="77777777" w:rsidR="00602083" w:rsidRDefault="00602083">
      <w:pPr>
        <w:spacing w:line="360" w:lineRule="auto"/>
        <w:ind w:firstLineChars="0" w:firstLine="0"/>
        <w:rPr>
          <w:rFonts w:eastAsia="宋体" w:cstheme="minorBidi"/>
          <w:sz w:val="24"/>
          <w:szCs w:val="20"/>
        </w:rPr>
      </w:pPr>
    </w:p>
    <w:sectPr w:rsidR="00602083">
      <w:headerReference w:type="default" r:id="rId22"/>
      <w:footerReference w:type="default" r:id="rId23"/>
      <w:footnotePr>
        <w:numRestart w:val="eachPage"/>
      </w:footnotePr>
      <w:endnotePr>
        <w:numFmt w:val="decimal"/>
      </w:endnotePr>
      <w:type w:val="nextColumn"/>
      <w:pgSz w:w="11906" w:h="16838"/>
      <w:pgMar w:top="1554" w:right="1588" w:bottom="1440" w:left="1588" w:header="1021" w:footer="992" w:gutter="0"/>
      <w:cols w:space="425"/>
      <w:docGrid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9771E" w14:textId="77777777" w:rsidR="00CF6509" w:rsidRDefault="00CF6509">
      <w:pPr>
        <w:spacing w:line="240" w:lineRule="auto"/>
      </w:pPr>
      <w:r>
        <w:separator/>
      </w:r>
    </w:p>
  </w:endnote>
  <w:endnote w:type="continuationSeparator" w:id="0">
    <w:p w14:paraId="66C67FE5" w14:textId="77777777" w:rsidR="00CF6509" w:rsidRDefault="00CF6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0AAE" w14:textId="77777777" w:rsidR="00602083" w:rsidRDefault="00602083">
    <w:pPr>
      <w:tabs>
        <w:tab w:val="center" w:pos="4153"/>
        <w:tab w:val="right" w:pos="8306"/>
      </w:tabs>
      <w:snapToGrid w:val="0"/>
      <w:spacing w:line="480" w:lineRule="exact"/>
      <w:ind w:firstLine="360"/>
      <w:jc w:val="left"/>
      <w:rPr>
        <w:rFonts w:eastAsia="宋体" w:cs="Times New Roman"/>
        <w:sz w:val="18"/>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89671"/>
      <w:showingPlcHdr/>
    </w:sdtPr>
    <w:sdtEndPr>
      <w:rPr>
        <w:sz w:val="24"/>
        <w:szCs w:val="24"/>
      </w:rPr>
    </w:sdtEndPr>
    <w:sdtContent>
      <w:p w14:paraId="4EAD9A50" w14:textId="77777777" w:rsidR="00602083" w:rsidRDefault="00E51994">
        <w:pPr>
          <w:pStyle w:val="af4"/>
          <w:spacing w:line="240" w:lineRule="auto"/>
          <w:ind w:firstLine="360"/>
          <w:jc w:val="center"/>
          <w:rPr>
            <w:sz w:val="24"/>
            <w:szCs w:val="24"/>
          </w:rPr>
        </w:pP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8884" w14:textId="77777777" w:rsidR="00602083" w:rsidRDefault="00602083">
    <w:pPr>
      <w:tabs>
        <w:tab w:val="center" w:pos="4153"/>
        <w:tab w:val="right" w:pos="8306"/>
      </w:tabs>
      <w:snapToGrid w:val="0"/>
      <w:spacing w:line="480" w:lineRule="exact"/>
      <w:ind w:firstLine="360"/>
      <w:jc w:val="left"/>
      <w:rPr>
        <w:rFonts w:eastAsia="宋体" w:cs="Times New Roman"/>
        <w:sz w:val="18"/>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cs="Times New Roman"/>
        <w:sz w:val="21"/>
        <w:szCs w:val="22"/>
      </w:rPr>
      <w:id w:val="-1978983871"/>
    </w:sdtPr>
    <w:sdtEndPr>
      <w:rPr>
        <w:sz w:val="24"/>
        <w:szCs w:val="24"/>
      </w:rPr>
    </w:sdtEndPr>
    <w:sdtContent>
      <w:p w14:paraId="611846A5" w14:textId="77777777" w:rsidR="00602083" w:rsidRDefault="00E51994">
        <w:pPr>
          <w:snapToGrid w:val="0"/>
          <w:spacing w:line="240" w:lineRule="auto"/>
          <w:ind w:firstLineChars="0" w:firstLine="0"/>
          <w:jc w:val="center"/>
          <w:rPr>
            <w:rFonts w:asciiTheme="minorHAnsi" w:eastAsiaTheme="minorEastAsia" w:hAnsiTheme="minorHAnsi" w:cstheme="minorBidi"/>
            <w:sz w:val="24"/>
            <w:szCs w:val="24"/>
          </w:rPr>
        </w:pPr>
        <w:r>
          <w:rPr>
            <w:rFonts w:eastAsiaTheme="minorEastAsia" w:cs="Times New Roman"/>
            <w:sz w:val="24"/>
            <w:szCs w:val="24"/>
          </w:rPr>
          <w:fldChar w:fldCharType="begin"/>
        </w:r>
        <w:r>
          <w:rPr>
            <w:rFonts w:eastAsiaTheme="minorEastAsia" w:cs="Times New Roman"/>
            <w:sz w:val="24"/>
            <w:szCs w:val="24"/>
          </w:rPr>
          <w:instrText>PAGE   \* MERGEFORMAT</w:instrText>
        </w:r>
        <w:r>
          <w:rPr>
            <w:rFonts w:eastAsiaTheme="minorEastAsia" w:cs="Times New Roman"/>
            <w:sz w:val="24"/>
            <w:szCs w:val="24"/>
          </w:rPr>
          <w:fldChar w:fldCharType="separate"/>
        </w:r>
        <w:r>
          <w:rPr>
            <w:rFonts w:eastAsiaTheme="minorEastAsia" w:cs="Times New Roman"/>
            <w:sz w:val="24"/>
            <w:szCs w:val="24"/>
            <w:lang w:val="zh-CN"/>
          </w:rPr>
          <w:t>1166</w:t>
        </w:r>
        <w:r>
          <w:rPr>
            <w:rFonts w:eastAsiaTheme="minorEastAsia"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4C29A" w14:textId="77777777" w:rsidR="00CF6509" w:rsidRDefault="00CF6509">
      <w:pPr>
        <w:spacing w:line="240" w:lineRule="auto"/>
      </w:pPr>
      <w:r>
        <w:separator/>
      </w:r>
    </w:p>
  </w:footnote>
  <w:footnote w:type="continuationSeparator" w:id="0">
    <w:p w14:paraId="2171A975" w14:textId="77777777" w:rsidR="00CF6509" w:rsidRDefault="00CF6509">
      <w:pPr>
        <w:spacing w:line="240" w:lineRule="auto"/>
      </w:pPr>
      <w:r>
        <w:continuationSeparator/>
      </w:r>
    </w:p>
  </w:footnote>
  <w:footnote w:id="1">
    <w:p w14:paraId="70AAD88B" w14:textId="77777777" w:rsidR="00602083" w:rsidRDefault="00E51994">
      <w:pPr>
        <w:pStyle w:val="affffff4"/>
      </w:pPr>
      <w:r>
        <w:t>[</w:t>
      </w:r>
      <w:r>
        <w:footnoteRef/>
      </w:r>
      <w:r>
        <w:t xml:space="preserve">] </w:t>
      </w:r>
      <w:r>
        <w:rPr>
          <w:rFonts w:hint="eastAsia"/>
        </w:rPr>
        <w:t>中国信息通信研究院</w:t>
      </w:r>
      <w:r>
        <w:rPr>
          <w:rFonts w:hint="eastAsia"/>
        </w:rPr>
        <w:t>.</w:t>
      </w:r>
      <w:r>
        <w:rPr>
          <w:rFonts w:hint="eastAsia"/>
        </w:rPr>
        <w:t>中国数字经济发展白皮书</w:t>
      </w:r>
      <w:r>
        <w:rPr>
          <w:rFonts w:hint="eastAsia"/>
        </w:rPr>
        <w:t>[R].2021-04</w:t>
      </w:r>
    </w:p>
  </w:footnote>
  <w:footnote w:id="2">
    <w:p w14:paraId="65422E47" w14:textId="77777777" w:rsidR="00602083" w:rsidRDefault="00E51994">
      <w:pPr>
        <w:pStyle w:val="affffff4"/>
      </w:pPr>
      <w:r>
        <w:t>[</w:t>
      </w:r>
      <w:r>
        <w:footnoteRef/>
      </w:r>
      <w:r>
        <w:t xml:space="preserve">] </w:t>
      </w:r>
      <w:r>
        <w:rPr>
          <w:rFonts w:hint="eastAsia"/>
        </w:rPr>
        <w:t>龚玉泉，袁志刚</w:t>
      </w:r>
      <w:r>
        <w:rPr>
          <w:rFonts w:hint="eastAsia"/>
        </w:rPr>
        <w:t>.</w:t>
      </w:r>
      <w:r>
        <w:rPr>
          <w:rFonts w:hint="eastAsia"/>
        </w:rPr>
        <w:t>中国经济增长与就业增长的非一致性及其形成机理</w:t>
      </w:r>
      <w:r>
        <w:rPr>
          <w:rFonts w:hint="eastAsia"/>
        </w:rPr>
        <w:t xml:space="preserve">[J]. </w:t>
      </w:r>
      <w:r>
        <w:rPr>
          <w:rFonts w:hint="eastAsia"/>
        </w:rPr>
        <w:t>经济学动态，</w:t>
      </w:r>
      <w:r>
        <w:rPr>
          <w:rFonts w:hint="eastAsia"/>
        </w:rPr>
        <w:t>2002</w:t>
      </w:r>
      <w:r>
        <w:rPr>
          <w:rFonts w:hint="eastAsia"/>
        </w:rPr>
        <w:t>（</w:t>
      </w:r>
      <w:r>
        <w:rPr>
          <w:rFonts w:hint="eastAsia"/>
        </w:rPr>
        <w:t>10</w:t>
      </w:r>
      <w:r>
        <w:rPr>
          <w:rFonts w:hint="eastAsia"/>
        </w:rPr>
        <w:t>）</w:t>
      </w:r>
      <w:r>
        <w:rPr>
          <w:rFonts w:hint="eastAsia"/>
        </w:rPr>
        <w:t>:35-39.</w:t>
      </w:r>
    </w:p>
  </w:footnote>
  <w:footnote w:id="3">
    <w:p w14:paraId="36F63548" w14:textId="77777777" w:rsidR="00602083" w:rsidRDefault="00E51994">
      <w:pPr>
        <w:pStyle w:val="affffff4"/>
      </w:pPr>
      <w:r>
        <w:t>[</w:t>
      </w:r>
      <w:r>
        <w:footnoteRef/>
      </w:r>
      <w:r>
        <w:t xml:space="preserve">] </w:t>
      </w:r>
      <w:r>
        <w:rPr>
          <w:rFonts w:hint="eastAsia"/>
        </w:rPr>
        <w:t>Aghion P,Howitt P. Growth and Unemployment[J]. Review of Economic Studies,1994, 61</w:t>
      </w:r>
      <w:r>
        <w:rPr>
          <w:rFonts w:hint="eastAsia"/>
        </w:rPr>
        <w:t>（</w:t>
      </w:r>
      <w:r>
        <w:rPr>
          <w:rFonts w:hint="eastAsia"/>
        </w:rPr>
        <w:t>3</w:t>
      </w:r>
      <w:r>
        <w:rPr>
          <w:rFonts w:hint="eastAsia"/>
        </w:rPr>
        <w:t>）</w:t>
      </w:r>
      <w:r>
        <w:rPr>
          <w:rFonts w:hint="eastAsia"/>
        </w:rPr>
        <w:t>:477-494.</w:t>
      </w:r>
    </w:p>
  </w:footnote>
  <w:footnote w:id="4">
    <w:p w14:paraId="1E66DCAE" w14:textId="77777777" w:rsidR="00602083" w:rsidRDefault="00E51994">
      <w:pPr>
        <w:pStyle w:val="affffff4"/>
      </w:pPr>
      <w:r>
        <w:t>[</w:t>
      </w:r>
      <w:r>
        <w:footnoteRef/>
      </w:r>
      <w:r>
        <w:t>] Acemoglu D , Restrepo P . Robots and Jobs: Evidence from US Labor Markets[J]. NBER Working Papers, 2017.</w:t>
      </w:r>
    </w:p>
  </w:footnote>
  <w:footnote w:id="5">
    <w:p w14:paraId="6B2CCAA9" w14:textId="77777777" w:rsidR="00602083" w:rsidRDefault="00E51994">
      <w:pPr>
        <w:pStyle w:val="affffff4"/>
      </w:pPr>
      <w:r>
        <w:t>[</w:t>
      </w:r>
      <w:r>
        <w:footnoteRef/>
      </w:r>
      <w:r>
        <w:t>] Frey,C.B.&amp;M.A.Osborne,.he future of empoloyment:How susceptible are jobs to computerisation? [J].Technological Forecasting and Social Change,2017(114):254-280.</w:t>
      </w:r>
    </w:p>
  </w:footnote>
  <w:footnote w:id="6">
    <w:p w14:paraId="3067B23A" w14:textId="77777777" w:rsidR="00602083" w:rsidRDefault="00E51994">
      <w:pPr>
        <w:pStyle w:val="affffff4"/>
      </w:pPr>
      <w:r>
        <w:t>[</w:t>
      </w:r>
      <w:r>
        <w:footnoteRef/>
      </w:r>
      <w:r>
        <w:t>] GAGGL P,GREG C W.Short-Run View of What Computers Do: Evidence from a UK Tax Incentive[J] . American Economic Journal: Applied Economics ,2017 (3):262-294</w:t>
      </w:r>
    </w:p>
  </w:footnote>
  <w:footnote w:id="7">
    <w:p w14:paraId="152D263A" w14:textId="77777777" w:rsidR="00602083" w:rsidRDefault="00E51994">
      <w:pPr>
        <w:pStyle w:val="affffff4"/>
      </w:pPr>
      <w:r>
        <w:t>[</w:t>
      </w:r>
      <w:r>
        <w:footnoteRef/>
      </w:r>
      <w:r>
        <w:t>] Pini P.Technical change and labor displacement.Some comments on Recent Models of Technical Unemployment[J].1997.</w:t>
      </w:r>
    </w:p>
  </w:footnote>
  <w:footnote w:id="8">
    <w:p w14:paraId="002039AB" w14:textId="77777777" w:rsidR="00602083" w:rsidRDefault="00E51994">
      <w:pPr>
        <w:pStyle w:val="affffff4"/>
      </w:pPr>
      <w:r>
        <w:t>[</w:t>
      </w:r>
      <w:r>
        <w:footnoteRef/>
      </w:r>
      <w:r>
        <w:t>] PwC.Will robots really steal our jobs?[EB/OL]. https://www.pwc.com/hu/hu/kiadvanyok/assets/pdf/impact_of_automation_on_jobs.2018-02-08</w:t>
      </w:r>
    </w:p>
  </w:footnote>
  <w:footnote w:id="9">
    <w:p w14:paraId="6F510A3E" w14:textId="77777777" w:rsidR="00602083" w:rsidRDefault="00E51994">
      <w:pPr>
        <w:pStyle w:val="affffff4"/>
      </w:pPr>
      <w:r>
        <w:t>[</w:t>
      </w:r>
      <w:r>
        <w:footnoteRef/>
      </w:r>
      <w:r>
        <w:t xml:space="preserve">] </w:t>
      </w:r>
      <w:r>
        <w:rPr>
          <w:rFonts w:hint="eastAsia"/>
        </w:rPr>
        <w:t>Harrison R</w:t>
      </w:r>
      <w:r>
        <w:rPr>
          <w:rFonts w:hint="eastAsia"/>
        </w:rPr>
        <w:t>，</w:t>
      </w:r>
      <w:r>
        <w:rPr>
          <w:rFonts w:hint="eastAsia"/>
        </w:rPr>
        <w:t xml:space="preserve"> Jaumandreu J</w:t>
      </w:r>
      <w:r>
        <w:rPr>
          <w:rFonts w:hint="eastAsia"/>
        </w:rPr>
        <w:t>，</w:t>
      </w:r>
      <w:r>
        <w:rPr>
          <w:rFonts w:hint="eastAsia"/>
        </w:rPr>
        <w:t xml:space="preserve"> Mairesse J</w:t>
      </w:r>
      <w:r>
        <w:rPr>
          <w:rFonts w:hint="eastAsia"/>
        </w:rPr>
        <w:t>，</w:t>
      </w:r>
      <w:r>
        <w:rPr>
          <w:rFonts w:hint="eastAsia"/>
        </w:rPr>
        <w:t xml:space="preserve"> et al. Does innovation stimulate employment</w:t>
      </w:r>
      <w:r>
        <w:rPr>
          <w:rFonts w:hint="eastAsia"/>
        </w:rPr>
        <w:t>？</w:t>
      </w:r>
      <w:r>
        <w:rPr>
          <w:rFonts w:hint="eastAsia"/>
        </w:rPr>
        <w:t xml:space="preserve"> A firm-level analysis using comparable micro-data from four European countries [J]. International Journal of Industrial Organization</w:t>
      </w:r>
      <w:r>
        <w:rPr>
          <w:rFonts w:hint="eastAsia"/>
        </w:rPr>
        <w:t>，</w:t>
      </w:r>
      <w:r>
        <w:rPr>
          <w:rFonts w:hint="eastAsia"/>
        </w:rPr>
        <w:t xml:space="preserve"> 2014,35(8):29-43.</w:t>
      </w:r>
    </w:p>
  </w:footnote>
  <w:footnote w:id="10">
    <w:p w14:paraId="1302E46A" w14:textId="77777777" w:rsidR="00602083" w:rsidRDefault="00E51994">
      <w:pPr>
        <w:pStyle w:val="affffff4"/>
      </w:pPr>
      <w:r>
        <w:t>[</w:t>
      </w:r>
      <w:r>
        <w:footnoteRef/>
      </w:r>
      <w:r>
        <w:t xml:space="preserve">] </w:t>
      </w:r>
      <w:r>
        <w:rPr>
          <w:rFonts w:hint="eastAsia"/>
        </w:rPr>
        <w:t>陆铭</w:t>
      </w:r>
      <w:r>
        <w:rPr>
          <w:rFonts w:hint="eastAsia"/>
        </w:rPr>
        <w:t xml:space="preserve">. </w:t>
      </w:r>
      <w:r>
        <w:rPr>
          <w:rFonts w:hint="eastAsia"/>
        </w:rPr>
        <w:t>大城市不需要低端劳动力吗</w:t>
      </w:r>
      <w:r>
        <w:rPr>
          <w:rFonts w:hint="eastAsia"/>
        </w:rPr>
        <w:t xml:space="preserve">?[J]. </w:t>
      </w:r>
      <w:r>
        <w:rPr>
          <w:rFonts w:hint="eastAsia"/>
        </w:rPr>
        <w:t>上海国资</w:t>
      </w:r>
      <w:r>
        <w:rPr>
          <w:rFonts w:hint="eastAsia"/>
        </w:rPr>
        <w:t>, 2016(6</w:t>
      </w:r>
      <w:r>
        <w:rPr>
          <w:rFonts w:hint="eastAsia"/>
        </w:rPr>
        <w:t>期</w:t>
      </w:r>
      <w:r>
        <w:rPr>
          <w:rFonts w:hint="eastAsia"/>
        </w:rPr>
        <w:t>):17-17.</w:t>
      </w:r>
    </w:p>
  </w:footnote>
  <w:footnote w:id="11">
    <w:p w14:paraId="710169FB" w14:textId="77777777" w:rsidR="00602083" w:rsidRDefault="00E51994">
      <w:pPr>
        <w:pStyle w:val="affffff4"/>
      </w:pPr>
      <w:r>
        <w:t>[</w:t>
      </w:r>
      <w:r>
        <w:footnoteRef/>
      </w:r>
      <w:r>
        <w:t xml:space="preserve">] </w:t>
      </w:r>
      <w:r>
        <w:rPr>
          <w:rFonts w:hint="eastAsia"/>
        </w:rPr>
        <w:t>Berriman,R.&amp;J.Hawlsworth.Will robots steal our jobs?The potential impact of automation on the UK and other major economies[J].PwC UK Economic Outlook</w:t>
      </w:r>
      <w:r>
        <w:rPr>
          <w:rFonts w:hint="eastAsia"/>
        </w:rPr>
        <w:t>，</w:t>
      </w:r>
      <w:r>
        <w:rPr>
          <w:rFonts w:hint="eastAsia"/>
        </w:rPr>
        <w:t>March.2017:30-47</w:t>
      </w:r>
    </w:p>
  </w:footnote>
  <w:footnote w:id="12">
    <w:p w14:paraId="5E4BBA38" w14:textId="77777777" w:rsidR="00602083" w:rsidRDefault="00E51994">
      <w:pPr>
        <w:pStyle w:val="affffff4"/>
      </w:pPr>
      <w:r>
        <w:t>[</w:t>
      </w:r>
      <w:r>
        <w:footnoteRef/>
      </w:r>
      <w:r>
        <w:t>] Abuselidze,G.&amp;L.Mamaladze.The impact of artificial intelligence on empolyment before and during pandemic:A comparative analysis[J].Journal of Physics:Confererce Series,Vol.1840,Iss.1.</w:t>
      </w:r>
    </w:p>
  </w:footnote>
  <w:footnote w:id="13">
    <w:p w14:paraId="1A33CFE3" w14:textId="77777777" w:rsidR="00602083" w:rsidRDefault="00E51994">
      <w:pPr>
        <w:pStyle w:val="affffff4"/>
      </w:pPr>
      <w:r>
        <w:t>[</w:t>
      </w:r>
      <w:r>
        <w:footnoteRef/>
      </w:r>
      <w:r>
        <w:t>] Acemoglu,D.&amp;D.Autor.Skills,task and technologies:Implications for employment and earnings [J].NBER Working Paper,2010.No.16082.</w:t>
      </w:r>
    </w:p>
  </w:footnote>
  <w:footnote w:id="14">
    <w:p w14:paraId="50BAED43" w14:textId="77777777" w:rsidR="00602083" w:rsidRDefault="00E51994">
      <w:pPr>
        <w:pStyle w:val="affffff4"/>
      </w:pPr>
      <w:r>
        <w:t>[</w:t>
      </w:r>
      <w:r>
        <w:footnoteRef/>
      </w:r>
      <w:r>
        <w:t>] Jeffrey D. Sachs.R&amp;D, Structural Transformation, and the Distribution of Income[M].The Economics of Artificial Intelligence: An Agenda .2018.329-348.</w:t>
      </w:r>
    </w:p>
  </w:footnote>
  <w:footnote w:id="15">
    <w:p w14:paraId="2E2D0D37" w14:textId="77777777" w:rsidR="00602083" w:rsidRDefault="00E51994">
      <w:pPr>
        <w:pStyle w:val="affffff4"/>
      </w:pPr>
      <w:r>
        <w:t>[</w:t>
      </w:r>
      <w:r>
        <w:footnoteRef/>
      </w:r>
      <w:r>
        <w:t xml:space="preserve">] </w:t>
      </w:r>
      <w:r>
        <w:rPr>
          <w:rFonts w:hint="eastAsia"/>
        </w:rPr>
        <w:t>黄佳</w:t>
      </w:r>
      <w:r>
        <w:rPr>
          <w:rFonts w:hint="eastAsia"/>
        </w:rPr>
        <w:t xml:space="preserve">. </w:t>
      </w:r>
      <w:r>
        <w:rPr>
          <w:rFonts w:hint="eastAsia"/>
        </w:rPr>
        <w:t>数字经济对劳动力市场的影响综述</w:t>
      </w:r>
      <w:r>
        <w:rPr>
          <w:rFonts w:hint="eastAsia"/>
        </w:rPr>
        <w:t xml:space="preserve">[J]. </w:t>
      </w:r>
      <w:r>
        <w:rPr>
          <w:rFonts w:hint="eastAsia"/>
        </w:rPr>
        <w:t>合作经济与科技</w:t>
      </w:r>
      <w:r>
        <w:rPr>
          <w:rFonts w:hint="eastAsia"/>
        </w:rPr>
        <w:t>(14):2.</w:t>
      </w:r>
    </w:p>
  </w:footnote>
  <w:footnote w:id="16">
    <w:p w14:paraId="1160C3B6" w14:textId="77777777" w:rsidR="00602083" w:rsidRDefault="00E51994">
      <w:pPr>
        <w:pStyle w:val="affffff4"/>
      </w:pPr>
      <w:r>
        <w:t>[</w:t>
      </w:r>
      <w:r>
        <w:footnoteRef/>
      </w:r>
      <w:r>
        <w:t xml:space="preserve">] </w:t>
      </w:r>
      <w:r>
        <w:rPr>
          <w:rFonts w:hint="eastAsia"/>
        </w:rPr>
        <w:t>杨巨</w:t>
      </w:r>
      <w:r>
        <w:rPr>
          <w:rFonts w:hint="eastAsia"/>
        </w:rPr>
        <w:t>.</w:t>
      </w:r>
      <w:r>
        <w:rPr>
          <w:rFonts w:hint="eastAsia"/>
        </w:rPr>
        <w:t>初次收入分配与技术进步——基于马克思主义经济学的视角</w:t>
      </w:r>
      <w:r>
        <w:rPr>
          <w:rFonts w:hint="eastAsia"/>
        </w:rPr>
        <w:t>[J].</w:t>
      </w:r>
      <w:r>
        <w:rPr>
          <w:rFonts w:hint="eastAsia"/>
        </w:rPr>
        <w:t>经济评论</w:t>
      </w:r>
      <w:r>
        <w:rPr>
          <w:rFonts w:hint="eastAsia"/>
        </w:rPr>
        <w:t>,2012(03):11-19.</w:t>
      </w:r>
    </w:p>
  </w:footnote>
  <w:footnote w:id="17">
    <w:p w14:paraId="4840D098" w14:textId="77777777" w:rsidR="00602083" w:rsidRDefault="00E51994">
      <w:pPr>
        <w:pStyle w:val="affffff4"/>
      </w:pPr>
      <w:r>
        <w:t>[</w:t>
      </w:r>
      <w:r>
        <w:footnoteRef/>
      </w:r>
      <w:r>
        <w:t xml:space="preserve">] </w:t>
      </w:r>
      <w:r>
        <w:rPr>
          <w:rFonts w:hint="eastAsia"/>
        </w:rPr>
        <w:t>陈怡</w:t>
      </w:r>
      <w:r>
        <w:rPr>
          <w:rFonts w:hint="eastAsia"/>
        </w:rPr>
        <w:t xml:space="preserve">, </w:t>
      </w:r>
      <w:r>
        <w:rPr>
          <w:rFonts w:hint="eastAsia"/>
        </w:rPr>
        <w:t>刘芸芸</w:t>
      </w:r>
      <w:r>
        <w:rPr>
          <w:rFonts w:hint="eastAsia"/>
        </w:rPr>
        <w:t xml:space="preserve">. </w:t>
      </w:r>
      <w:r>
        <w:rPr>
          <w:rFonts w:hint="eastAsia"/>
        </w:rPr>
        <w:t>技术创新对收入分配的影响——基于不同收入人群的分析</w:t>
      </w:r>
      <w:r>
        <w:rPr>
          <w:rFonts w:hint="eastAsia"/>
        </w:rPr>
        <w:t>[J]. 2021(2019-2):69-79.</w:t>
      </w:r>
    </w:p>
  </w:footnote>
  <w:footnote w:id="18">
    <w:p w14:paraId="798F28E3" w14:textId="77777777" w:rsidR="00602083" w:rsidRDefault="00E51994">
      <w:pPr>
        <w:pStyle w:val="affffff4"/>
      </w:pPr>
      <w:r>
        <w:t>[</w:t>
      </w:r>
      <w:r>
        <w:footnoteRef/>
      </w:r>
      <w:r>
        <w:t xml:space="preserve">] </w:t>
      </w:r>
      <w:r>
        <w:rPr>
          <w:rFonts w:hint="eastAsia"/>
        </w:rPr>
        <w:t>陈斌开</w:t>
      </w:r>
      <w:r>
        <w:rPr>
          <w:rFonts w:hint="eastAsia"/>
        </w:rPr>
        <w:t xml:space="preserve">, </w:t>
      </w:r>
      <w:r>
        <w:rPr>
          <w:rFonts w:hint="eastAsia"/>
        </w:rPr>
        <w:t>马燕来</w:t>
      </w:r>
      <w:r>
        <w:rPr>
          <w:rFonts w:hint="eastAsia"/>
        </w:rPr>
        <w:t xml:space="preserve">. </w:t>
      </w:r>
      <w:r>
        <w:rPr>
          <w:rFonts w:hint="eastAsia"/>
        </w:rPr>
        <w:t>数字经济对发展中国家与发达国家劳动力市场的不同影响——技能替代视角的分析</w:t>
      </w:r>
      <w:r>
        <w:rPr>
          <w:rFonts w:hint="eastAsia"/>
        </w:rPr>
        <w:t xml:space="preserve">[J]. </w:t>
      </w:r>
      <w:r>
        <w:rPr>
          <w:rFonts w:hint="eastAsia"/>
        </w:rPr>
        <w:t>北京交通大学学报</w:t>
      </w:r>
      <w:r>
        <w:rPr>
          <w:rFonts w:hint="eastAsia"/>
        </w:rPr>
        <w:t>:</w:t>
      </w:r>
      <w:r>
        <w:rPr>
          <w:rFonts w:hint="eastAsia"/>
        </w:rPr>
        <w:t>社会科学版</w:t>
      </w:r>
      <w:r>
        <w:rPr>
          <w:rFonts w:hint="eastAsia"/>
        </w:rPr>
        <w:t>, 20(2):12.</w:t>
      </w:r>
    </w:p>
  </w:footnote>
  <w:footnote w:id="19">
    <w:p w14:paraId="04208C39" w14:textId="77777777" w:rsidR="00602083" w:rsidRDefault="00E51994">
      <w:pPr>
        <w:pStyle w:val="affffff4"/>
      </w:pPr>
      <w:r>
        <w:t>[</w:t>
      </w:r>
      <w:r>
        <w:footnoteRef/>
      </w:r>
      <w:r>
        <w:t>] Robinson S . Toward an Adequate Long-Run Model of Income Distribution and Economic Development[J]. American Economic Review, 1976, 66.</w:t>
      </w:r>
    </w:p>
  </w:footnote>
  <w:footnote w:id="20">
    <w:p w14:paraId="6FB00EA4" w14:textId="77777777" w:rsidR="00602083" w:rsidRDefault="00E51994">
      <w:pPr>
        <w:pStyle w:val="affffff4"/>
      </w:pPr>
      <w:r>
        <w:t>[</w:t>
      </w:r>
      <w:r>
        <w:footnoteRef/>
      </w:r>
      <w:r>
        <w:t xml:space="preserve">] </w:t>
      </w:r>
      <w:r>
        <w:rPr>
          <w:rFonts w:hint="eastAsia"/>
        </w:rPr>
        <w:t>曹达华</w:t>
      </w:r>
      <w:r>
        <w:rPr>
          <w:rFonts w:hint="eastAsia"/>
        </w:rPr>
        <w:t>.</w:t>
      </w:r>
      <w:r>
        <w:rPr>
          <w:rFonts w:hint="eastAsia"/>
        </w:rPr>
        <w:t>澳门经济结构演变对就业和收入分配的影响分析</w:t>
      </w:r>
      <w:r>
        <w:rPr>
          <w:rFonts w:hint="eastAsia"/>
        </w:rPr>
        <w:t>[J].</w:t>
      </w:r>
      <w:r>
        <w:rPr>
          <w:rFonts w:hint="eastAsia"/>
        </w:rPr>
        <w:t>广东行政学院学报</w:t>
      </w:r>
      <w:r>
        <w:rPr>
          <w:rFonts w:hint="eastAsia"/>
        </w:rPr>
        <w:t>,2016,28(03):90-95.</w:t>
      </w:r>
    </w:p>
  </w:footnote>
  <w:footnote w:id="21">
    <w:p w14:paraId="502EA2A9" w14:textId="77777777" w:rsidR="00602083" w:rsidRDefault="00E51994">
      <w:pPr>
        <w:pStyle w:val="affffff4"/>
      </w:pPr>
      <w:r>
        <w:t>[</w:t>
      </w:r>
      <w:r>
        <w:footnoteRef/>
      </w:r>
      <w:r>
        <w:t xml:space="preserve">] </w:t>
      </w:r>
      <w:r>
        <w:rPr>
          <w:rFonts w:hint="eastAsia"/>
        </w:rPr>
        <w:t>宋锦</w:t>
      </w:r>
      <w:r>
        <w:rPr>
          <w:rFonts w:hint="eastAsia"/>
        </w:rPr>
        <w:t>.</w:t>
      </w:r>
      <w:r>
        <w:rPr>
          <w:rFonts w:hint="eastAsia"/>
        </w:rPr>
        <w:t>产业转型、就业结构调整与收入分配</w:t>
      </w:r>
      <w:r>
        <w:rPr>
          <w:rFonts w:hint="eastAsia"/>
        </w:rPr>
        <w:t>[J].</w:t>
      </w:r>
      <w:r>
        <w:rPr>
          <w:rFonts w:hint="eastAsia"/>
        </w:rPr>
        <w:t>经济与管理研究</w:t>
      </w:r>
      <w:r>
        <w:rPr>
          <w:rFonts w:hint="eastAsia"/>
        </w:rPr>
        <w:t>,2018,39(10):45-56.</w:t>
      </w:r>
    </w:p>
  </w:footnote>
  <w:footnote w:id="22">
    <w:p w14:paraId="28231B9E" w14:textId="77777777" w:rsidR="00602083" w:rsidRDefault="00E51994">
      <w:pPr>
        <w:pStyle w:val="affffff4"/>
      </w:pPr>
      <w:r>
        <w:t>[</w:t>
      </w:r>
      <w:r>
        <w:footnoteRef/>
      </w:r>
      <w:r>
        <w:t xml:space="preserve">] </w:t>
      </w:r>
      <w:r>
        <w:rPr>
          <w:rFonts w:hint="eastAsia"/>
        </w:rPr>
        <w:t>翁杰</w:t>
      </w:r>
      <w:r>
        <w:rPr>
          <w:rFonts w:hint="eastAsia"/>
        </w:rPr>
        <w:t>.</w:t>
      </w:r>
      <w:r>
        <w:rPr>
          <w:rFonts w:hint="eastAsia"/>
        </w:rPr>
        <w:t>制造业部门的就业调整和收入分配变动</w:t>
      </w:r>
      <w:r>
        <w:rPr>
          <w:rFonts w:hint="eastAsia"/>
        </w:rPr>
        <w:t>:</w:t>
      </w:r>
      <w:r>
        <w:rPr>
          <w:rFonts w:hint="eastAsia"/>
        </w:rPr>
        <w:t>经验和启示</w:t>
      </w:r>
      <w:r>
        <w:rPr>
          <w:rFonts w:hint="eastAsia"/>
        </w:rPr>
        <w:t>[J].</w:t>
      </w:r>
      <w:r>
        <w:rPr>
          <w:rFonts w:hint="eastAsia"/>
        </w:rPr>
        <w:t>当代财经</w:t>
      </w:r>
      <w:r>
        <w:rPr>
          <w:rFonts w:hint="eastAsia"/>
        </w:rPr>
        <w:t>,2016(05):87-97.</w:t>
      </w:r>
    </w:p>
  </w:footnote>
  <w:footnote w:id="23">
    <w:p w14:paraId="65E7374A" w14:textId="77777777" w:rsidR="00602083" w:rsidRDefault="00E51994">
      <w:pPr>
        <w:pStyle w:val="affffff4"/>
      </w:pPr>
      <w:r>
        <w:t>[</w:t>
      </w:r>
      <w:r>
        <w:footnoteRef/>
      </w:r>
      <w:r>
        <w:t xml:space="preserve">] </w:t>
      </w:r>
      <w:r>
        <w:rPr>
          <w:rFonts w:hint="eastAsia"/>
        </w:rPr>
        <w:t>邓志国</w:t>
      </w:r>
      <w:r>
        <w:rPr>
          <w:rFonts w:hint="eastAsia"/>
        </w:rPr>
        <w:t xml:space="preserve">, </w:t>
      </w:r>
      <w:r>
        <w:rPr>
          <w:rFonts w:hint="eastAsia"/>
        </w:rPr>
        <w:t>陈锡康</w:t>
      </w:r>
      <w:r>
        <w:rPr>
          <w:rFonts w:hint="eastAsia"/>
        </w:rPr>
        <w:t xml:space="preserve">, </w:t>
      </w:r>
      <w:r>
        <w:rPr>
          <w:rFonts w:hint="eastAsia"/>
        </w:rPr>
        <w:t>吴建新</w:t>
      </w:r>
      <w:r>
        <w:rPr>
          <w:rFonts w:hint="eastAsia"/>
        </w:rPr>
        <w:t xml:space="preserve">. </w:t>
      </w:r>
      <w:r>
        <w:rPr>
          <w:rFonts w:hint="eastAsia"/>
        </w:rPr>
        <w:t>中国各部门就业人员劳动收入分配及其影响因素分析</w:t>
      </w:r>
      <w:r>
        <w:rPr>
          <w:rFonts w:hint="eastAsia"/>
        </w:rPr>
        <w:t xml:space="preserve">[J]. </w:t>
      </w:r>
      <w:r>
        <w:rPr>
          <w:rFonts w:hint="eastAsia"/>
        </w:rPr>
        <w:t>管理评论</w:t>
      </w:r>
      <w:r>
        <w:rPr>
          <w:rFonts w:hint="eastAsia"/>
        </w:rPr>
        <w:t>, 2009(11):12-17.</w:t>
      </w:r>
    </w:p>
  </w:footnote>
  <w:footnote w:id="24">
    <w:p w14:paraId="7241093E" w14:textId="77777777" w:rsidR="00602083" w:rsidRDefault="00E51994">
      <w:pPr>
        <w:pStyle w:val="affffff4"/>
      </w:pPr>
      <w:r>
        <w:t>[</w:t>
      </w:r>
      <w:r>
        <w:footnoteRef/>
      </w:r>
      <w:r>
        <w:t xml:space="preserve">] </w:t>
      </w:r>
      <w:r>
        <w:rPr>
          <w:rFonts w:hint="eastAsia"/>
        </w:rPr>
        <w:t>Thor Berger</w:t>
      </w:r>
      <w:r>
        <w:rPr>
          <w:rFonts w:hint="eastAsia"/>
        </w:rPr>
        <w:t>，</w:t>
      </w:r>
      <w:r>
        <w:rPr>
          <w:rFonts w:hint="eastAsia"/>
        </w:rPr>
        <w:t>Carl Benedikt Frey</w:t>
      </w:r>
      <w:r>
        <w:t>. Did the Computer Revolution shift the fortunes of U.S. cities? Technology shocks and the geography of new jobs[J]. Regional Science and Urban Economics, 2016, 57:38-45.</w:t>
      </w:r>
    </w:p>
  </w:footnote>
  <w:footnote w:id="25">
    <w:p w14:paraId="440C76ED" w14:textId="77777777" w:rsidR="00602083" w:rsidRDefault="00E51994">
      <w:pPr>
        <w:pStyle w:val="affffff4"/>
      </w:pPr>
      <w:r>
        <w:t>[</w:t>
      </w:r>
      <w:r>
        <w:footnoteRef/>
      </w:r>
      <w:r>
        <w:t>] Berg A , Bu Ff Ie E F , Zanna L F . Robots, Growth, and Inequality. .Finance &amp; Development, September 2016, Vol. 53, No. 3</w:t>
      </w:r>
    </w:p>
  </w:footnote>
  <w:footnote w:id="26">
    <w:p w14:paraId="2D3B2F0D" w14:textId="77777777" w:rsidR="00602083" w:rsidRDefault="00E51994">
      <w:pPr>
        <w:pStyle w:val="affffff4"/>
      </w:pPr>
      <w:r>
        <w:t>[</w:t>
      </w:r>
      <w:r>
        <w:footnoteRef/>
      </w:r>
      <w:r>
        <w:t>] Martens B , Tolan S . Will this time be different? A review of the literature on the Impact of Artificial Intelligence on Employment, Incomes and Growth[J]. JRC Working Papers on Digital Economy, 2018.</w:t>
      </w:r>
    </w:p>
  </w:footnote>
  <w:footnote w:id="27">
    <w:p w14:paraId="5288CE1A" w14:textId="77777777" w:rsidR="00602083" w:rsidRDefault="00E51994">
      <w:pPr>
        <w:pStyle w:val="affffff4"/>
      </w:pPr>
      <w:r>
        <w:t>[</w:t>
      </w:r>
      <w:r>
        <w:footnoteRef/>
      </w:r>
      <w:r>
        <w:t>] Korinek A , Stiglitz J E . Artificial Intelligence, Globalization, and Strategies for Economic Development[J]. CEPR Discussion Papers, 2021.</w:t>
      </w:r>
    </w:p>
  </w:footnote>
  <w:footnote w:id="28">
    <w:p w14:paraId="6557A71E" w14:textId="77777777" w:rsidR="00602083" w:rsidRDefault="00E51994">
      <w:pPr>
        <w:pStyle w:val="affffff4"/>
      </w:pPr>
      <w:r>
        <w:t>[</w:t>
      </w:r>
      <w:r>
        <w:footnoteRef/>
      </w:r>
      <w:r>
        <w:t>] Autor D H , Dorn D . Inequality and specialization: the growth of low-skill service jobs in the United States[J]. IZA Discussion Papers, 2009</w:t>
      </w:r>
    </w:p>
  </w:footnote>
  <w:footnote w:id="29">
    <w:p w14:paraId="6EB30469" w14:textId="77777777" w:rsidR="00602083" w:rsidRDefault="00E51994">
      <w:pPr>
        <w:pStyle w:val="affffff4"/>
      </w:pPr>
      <w:r>
        <w:t>[</w:t>
      </w:r>
      <w:r>
        <w:footnoteRef/>
      </w:r>
      <w:r>
        <w:t>] Agrawal A , Mchale J , Oettl A . Finding Needles in Haystacks: Artificial Intelligence and Recombinant Growth[J]. Nber Chapters, 2018.</w:t>
      </w:r>
    </w:p>
  </w:footnote>
  <w:footnote w:id="30">
    <w:p w14:paraId="64BD1A2B" w14:textId="77777777" w:rsidR="00602083" w:rsidRDefault="00E51994">
      <w:pPr>
        <w:pStyle w:val="affffff4"/>
      </w:pPr>
      <w:r>
        <w:t>[</w:t>
      </w:r>
      <w:r>
        <w:footnoteRef/>
      </w:r>
      <w:r>
        <w:t>] Caselli, Francesco, Manning, et al. Robot arithmetic: can new technology harm all workers or the average worker?[J]. Lse Research Online Documents on Economics, 2017.</w:t>
      </w:r>
    </w:p>
  </w:footnote>
  <w:footnote w:id="31">
    <w:p w14:paraId="45A1BE5C" w14:textId="77777777" w:rsidR="00602083" w:rsidRDefault="00E51994">
      <w:pPr>
        <w:pStyle w:val="affffff4"/>
      </w:pPr>
      <w:r>
        <w:t>[</w:t>
      </w:r>
      <w:r>
        <w:footnoteRef/>
      </w:r>
      <w:r>
        <w:t>] Autor D , Salomons A . Is Automation Labor-Displacing? Productivity Growth, Employment, and the Labor Share[J]. NBER Working Papers, 2018.</w:t>
      </w:r>
    </w:p>
  </w:footnote>
  <w:footnote w:id="32">
    <w:p w14:paraId="6910A7FC" w14:textId="77777777" w:rsidR="00602083" w:rsidRDefault="00E51994">
      <w:pPr>
        <w:pStyle w:val="affffff4"/>
      </w:pPr>
      <w:r>
        <w:t>[</w:t>
      </w:r>
      <w:r>
        <w:footnoteRef/>
      </w:r>
      <w:r>
        <w:t>] Autor D , Salomons A . Is Automation Labor-Displacing? Productivity Growth, Employment, and the Labor Share[J]. NBER Working Papers, 2018.</w:t>
      </w:r>
    </w:p>
  </w:footnote>
  <w:footnote w:id="33">
    <w:p w14:paraId="3F096336" w14:textId="77777777" w:rsidR="00602083" w:rsidRDefault="00E51994">
      <w:pPr>
        <w:pStyle w:val="affffff4"/>
      </w:pPr>
      <w:r>
        <w:t>[</w:t>
      </w:r>
      <w:r>
        <w:footnoteRef/>
      </w:r>
      <w:r>
        <w:t>] Korinek A , Stiglitz J E . Artificial Intelligence, Globalization, and Strategies for Economic Development[J]. CEPR Discussion Papers, 2021.</w:t>
      </w:r>
    </w:p>
  </w:footnote>
  <w:footnote w:id="34">
    <w:p w14:paraId="662FE156" w14:textId="77777777" w:rsidR="00602083" w:rsidRDefault="00E51994">
      <w:pPr>
        <w:pStyle w:val="affffff4"/>
      </w:pPr>
      <w:r>
        <w:t>[</w:t>
      </w:r>
      <w:r>
        <w:footnoteRef/>
      </w:r>
      <w:r>
        <w:t xml:space="preserve">] </w:t>
      </w:r>
      <w:r>
        <w:rPr>
          <w:rFonts w:hint="eastAsia"/>
        </w:rPr>
        <w:t>李怡</w:t>
      </w:r>
      <w:r>
        <w:rPr>
          <w:rFonts w:hint="eastAsia"/>
        </w:rPr>
        <w:t>,</w:t>
      </w:r>
      <w:r>
        <w:rPr>
          <w:rFonts w:hint="eastAsia"/>
        </w:rPr>
        <w:t>柯杰升</w:t>
      </w:r>
      <w:r>
        <w:rPr>
          <w:rFonts w:hint="eastAsia"/>
        </w:rPr>
        <w:t>.</w:t>
      </w:r>
      <w:r>
        <w:rPr>
          <w:rFonts w:hint="eastAsia"/>
        </w:rPr>
        <w:t>三级数字鸿沟：农村数字经济的收入增长和收入分配效应</w:t>
      </w:r>
      <w:r>
        <w:rPr>
          <w:rFonts w:hint="eastAsia"/>
        </w:rPr>
        <w:t>[J].</w:t>
      </w:r>
      <w:r>
        <w:rPr>
          <w:rFonts w:hint="eastAsia"/>
        </w:rPr>
        <w:t>农业技术经济</w:t>
      </w:r>
      <w:r>
        <w:rPr>
          <w:rFonts w:hint="eastAsia"/>
        </w:rPr>
        <w:t>,2021(08):119-132.</w:t>
      </w:r>
    </w:p>
  </w:footnote>
  <w:footnote w:id="35">
    <w:p w14:paraId="55E48E76" w14:textId="77777777" w:rsidR="00602083" w:rsidRDefault="00E51994">
      <w:pPr>
        <w:pStyle w:val="affffff4"/>
      </w:pPr>
      <w:r>
        <w:t>[</w:t>
      </w:r>
      <w:r>
        <w:footnoteRef/>
      </w:r>
      <w:r>
        <w:t xml:space="preserve">] </w:t>
      </w:r>
      <w:r>
        <w:rPr>
          <w:rFonts w:hint="eastAsia"/>
        </w:rPr>
        <w:t>孙杰</w:t>
      </w:r>
      <w:r>
        <w:rPr>
          <w:rFonts w:hint="eastAsia"/>
        </w:rPr>
        <w:t xml:space="preserve">. </w:t>
      </w:r>
      <w:r>
        <w:rPr>
          <w:rFonts w:hint="eastAsia"/>
        </w:rPr>
        <w:t>从数字经济到数字贸易</w:t>
      </w:r>
      <w:r>
        <w:rPr>
          <w:rFonts w:hint="eastAsia"/>
        </w:rPr>
        <w:t>:</w:t>
      </w:r>
      <w:r>
        <w:rPr>
          <w:rFonts w:hint="eastAsia"/>
        </w:rPr>
        <w:t>内涵</w:t>
      </w:r>
      <w:r>
        <w:rPr>
          <w:rFonts w:hint="eastAsia"/>
        </w:rPr>
        <w:t>,</w:t>
      </w:r>
      <w:r>
        <w:rPr>
          <w:rFonts w:hint="eastAsia"/>
        </w:rPr>
        <w:t>特征</w:t>
      </w:r>
      <w:r>
        <w:rPr>
          <w:rFonts w:hint="eastAsia"/>
        </w:rPr>
        <w:t>,</w:t>
      </w:r>
      <w:r>
        <w:rPr>
          <w:rFonts w:hint="eastAsia"/>
        </w:rPr>
        <w:t>规则与影响</w:t>
      </w:r>
      <w:r>
        <w:rPr>
          <w:rFonts w:hint="eastAsia"/>
        </w:rPr>
        <w:t>[J]. 2021(2020-5):87-98.</w:t>
      </w:r>
    </w:p>
  </w:footnote>
  <w:footnote w:id="36">
    <w:p w14:paraId="3C3A2620" w14:textId="77777777" w:rsidR="00602083" w:rsidRDefault="00E51994">
      <w:pPr>
        <w:pStyle w:val="affffff4"/>
      </w:pPr>
      <w:r>
        <w:t>[</w:t>
      </w:r>
      <w:r>
        <w:footnoteRef/>
      </w:r>
      <w:r>
        <w:t>] Lankisch C . Robots and the skill premium: An automation-based explanation of wage inequality[J]. Klaus Prettner, 2017.</w:t>
      </w:r>
    </w:p>
  </w:footnote>
  <w:footnote w:id="37">
    <w:p w14:paraId="1DD56AA0" w14:textId="77777777" w:rsidR="00602083" w:rsidRDefault="00E51994">
      <w:pPr>
        <w:pStyle w:val="affffff4"/>
      </w:pPr>
      <w:r>
        <w:t>[</w:t>
      </w:r>
      <w:r>
        <w:footnoteRef/>
      </w:r>
      <w:r>
        <w:t>] Dauth W , Findeisen S , Dekum, et al. German Robots - The Impact of Industrial Robots on Workers[J]. Cepr Discussion Papers, 2017.</w:t>
      </w:r>
    </w:p>
  </w:footnote>
  <w:footnote w:id="38">
    <w:p w14:paraId="1F683D2A" w14:textId="77777777" w:rsidR="00602083" w:rsidRDefault="00E51994">
      <w:pPr>
        <w:pStyle w:val="affffff4"/>
      </w:pPr>
      <w:r>
        <w:t>[</w:t>
      </w:r>
      <w:r>
        <w:footnoteRef/>
      </w:r>
      <w:r>
        <w:t>] David, H, Autor. Why are there still so many jobs?The history and future of workplace automation[J]. Operations Research Management Science, 2017.</w:t>
      </w:r>
    </w:p>
  </w:footnote>
  <w:footnote w:id="39">
    <w:p w14:paraId="7CFF4135" w14:textId="77777777" w:rsidR="00602083" w:rsidRDefault="00E51994">
      <w:pPr>
        <w:pStyle w:val="affffff4"/>
      </w:pPr>
      <w:r>
        <w:t>[</w:t>
      </w:r>
      <w:r>
        <w:footnoteRef/>
      </w:r>
      <w:r>
        <w:t xml:space="preserve">] </w:t>
      </w:r>
      <w:r>
        <w:rPr>
          <w:rFonts w:hint="eastAsia"/>
        </w:rPr>
        <w:t>黄佳</w:t>
      </w:r>
      <w:r>
        <w:rPr>
          <w:rFonts w:hint="eastAsia"/>
        </w:rPr>
        <w:t xml:space="preserve">. </w:t>
      </w:r>
      <w:r>
        <w:rPr>
          <w:rFonts w:hint="eastAsia"/>
        </w:rPr>
        <w:t>数字经济对劳动力市场的影响综述</w:t>
      </w:r>
      <w:r>
        <w:rPr>
          <w:rFonts w:hint="eastAsia"/>
        </w:rPr>
        <w:t xml:space="preserve">[J]. </w:t>
      </w:r>
      <w:r>
        <w:rPr>
          <w:rFonts w:hint="eastAsia"/>
        </w:rPr>
        <w:t>合作经济与科技</w:t>
      </w:r>
      <w:r>
        <w:rPr>
          <w:rFonts w:hint="eastAsia"/>
        </w:rPr>
        <w:t>(14):2.</w:t>
      </w:r>
    </w:p>
  </w:footnote>
  <w:footnote w:id="40">
    <w:p w14:paraId="67757CFF" w14:textId="77777777" w:rsidR="00602083" w:rsidRDefault="00E51994">
      <w:pPr>
        <w:pStyle w:val="affffff4"/>
      </w:pPr>
      <w:r>
        <w:t>[</w:t>
      </w:r>
      <w:r>
        <w:footnoteRef/>
      </w:r>
      <w:r>
        <w:t xml:space="preserve">] </w:t>
      </w:r>
      <w:r>
        <w:rPr>
          <w:rFonts w:hint="eastAsia"/>
        </w:rPr>
        <w:t>韩文龙</w:t>
      </w:r>
      <w:r>
        <w:rPr>
          <w:rFonts w:hint="eastAsia"/>
        </w:rPr>
        <w:t>.</w:t>
      </w:r>
      <w:r>
        <w:rPr>
          <w:rFonts w:hint="eastAsia"/>
        </w:rPr>
        <w:t>数字经济赋能经济高质量发展的政治经济学分析</w:t>
      </w:r>
      <w:r>
        <w:rPr>
          <w:rFonts w:hint="eastAsia"/>
        </w:rPr>
        <w:t>[J].</w:t>
      </w:r>
      <w:r>
        <w:rPr>
          <w:rFonts w:hint="eastAsia"/>
        </w:rPr>
        <w:t>中国社会科学院研究生院学报</w:t>
      </w:r>
      <w:r>
        <w:rPr>
          <w:rFonts w:hint="eastAsia"/>
        </w:rPr>
        <w:t>,2021(02):98-108.</w:t>
      </w:r>
    </w:p>
  </w:footnote>
  <w:footnote w:id="41">
    <w:p w14:paraId="21492E76" w14:textId="77777777" w:rsidR="00602083" w:rsidRDefault="00E51994">
      <w:pPr>
        <w:pStyle w:val="affffff4"/>
      </w:pPr>
      <w:r>
        <w:t>[</w:t>
      </w:r>
      <w:r>
        <w:footnoteRef/>
      </w:r>
      <w:r>
        <w:t xml:space="preserve">] </w:t>
      </w:r>
      <w:r>
        <w:rPr>
          <w:rFonts w:hint="eastAsia"/>
        </w:rPr>
        <w:t>国家信息中心</w:t>
      </w:r>
      <w:r>
        <w:rPr>
          <w:rFonts w:hint="eastAsia"/>
        </w:rPr>
        <w:t>.</w:t>
      </w:r>
      <w:r>
        <w:rPr>
          <w:rFonts w:hint="eastAsia"/>
        </w:rPr>
        <w:t>中国共享经济发展报告（</w:t>
      </w:r>
      <w:r>
        <w:rPr>
          <w:rFonts w:hint="eastAsia"/>
        </w:rPr>
        <w:t>2021</w:t>
      </w:r>
      <w:r>
        <w:rPr>
          <w:rFonts w:hint="eastAsia"/>
        </w:rPr>
        <w:t>）</w:t>
      </w:r>
      <w:r>
        <w:rPr>
          <w:rFonts w:hint="eastAsia"/>
        </w:rPr>
        <w:t>[R].2021-02</w:t>
      </w:r>
    </w:p>
  </w:footnote>
  <w:footnote w:id="42">
    <w:p w14:paraId="0F8826F5" w14:textId="77777777" w:rsidR="00602083" w:rsidRDefault="00E51994">
      <w:pPr>
        <w:pStyle w:val="affffff4"/>
      </w:pPr>
      <w:r>
        <w:t>[</w:t>
      </w:r>
      <w:r>
        <w:footnoteRef/>
      </w:r>
      <w:r>
        <w:t xml:space="preserve">] </w:t>
      </w:r>
      <w:r>
        <w:rPr>
          <w:rFonts w:hint="eastAsia"/>
        </w:rPr>
        <w:t>中国信息通信研究院</w:t>
      </w:r>
      <w:r>
        <w:rPr>
          <w:rFonts w:hint="eastAsia"/>
        </w:rPr>
        <w:t>.</w:t>
      </w:r>
      <w:r>
        <w:rPr>
          <w:rFonts w:hint="eastAsia"/>
        </w:rPr>
        <w:t>数字化就业新职业新岗位报告</w:t>
      </w:r>
      <w:r>
        <w:rPr>
          <w:rFonts w:hint="eastAsia"/>
        </w:rPr>
        <w:t>[R].2021-04</w:t>
      </w:r>
    </w:p>
  </w:footnote>
  <w:footnote w:id="43">
    <w:p w14:paraId="754B406B" w14:textId="77777777" w:rsidR="00602083" w:rsidRDefault="00E51994">
      <w:pPr>
        <w:pStyle w:val="affffff4"/>
      </w:pPr>
      <w:r>
        <w:t>[</w:t>
      </w:r>
      <w:r>
        <w:footnoteRef/>
      </w:r>
      <w:r>
        <w:t xml:space="preserve">] </w:t>
      </w:r>
      <w:r>
        <w:rPr>
          <w:rFonts w:hint="eastAsia"/>
        </w:rPr>
        <w:t>阿里研究院</w:t>
      </w:r>
      <w:r>
        <w:rPr>
          <w:rFonts w:hint="eastAsia"/>
        </w:rPr>
        <w:t>.2020</w:t>
      </w:r>
      <w:r>
        <w:rPr>
          <w:rFonts w:hint="eastAsia"/>
        </w:rPr>
        <w:t>中国淘宝村研究报告</w:t>
      </w:r>
      <w:r>
        <w:rPr>
          <w:rFonts w:hint="eastAsia"/>
        </w:rPr>
        <w:t>[R].2021.05</w:t>
      </w:r>
    </w:p>
  </w:footnote>
  <w:footnote w:id="44">
    <w:p w14:paraId="62F34AA5" w14:textId="77777777" w:rsidR="00602083" w:rsidRDefault="00E51994">
      <w:pPr>
        <w:pStyle w:val="affffff4"/>
      </w:pPr>
      <w:r>
        <w:t>[</w:t>
      </w:r>
      <w:r>
        <w:footnoteRef/>
      </w:r>
      <w:r>
        <w:t xml:space="preserve">] </w:t>
      </w:r>
      <w:r>
        <w:rPr>
          <w:rFonts w:hint="eastAsia"/>
        </w:rPr>
        <w:t>中商产业研究院</w:t>
      </w:r>
      <w:r>
        <w:rPr>
          <w:rFonts w:hint="eastAsia"/>
        </w:rPr>
        <w:t>.2020</w:t>
      </w:r>
      <w:r>
        <w:rPr>
          <w:rFonts w:hint="eastAsia"/>
        </w:rPr>
        <w:t>年中国直播相关企业注册量及区域分布分析</w:t>
      </w:r>
      <w:r>
        <w:rPr>
          <w:rFonts w:hint="eastAsia"/>
        </w:rPr>
        <w:t>[R]..2020.09</w:t>
      </w:r>
    </w:p>
  </w:footnote>
  <w:footnote w:id="45">
    <w:p w14:paraId="2A838CDC" w14:textId="77777777" w:rsidR="00602083" w:rsidRDefault="00E51994">
      <w:pPr>
        <w:pStyle w:val="affffff4"/>
      </w:pPr>
      <w:r>
        <w:t>[</w:t>
      </w:r>
      <w:r>
        <w:footnoteRef/>
      </w:r>
      <w:r>
        <w:t xml:space="preserve">] </w:t>
      </w:r>
      <w:r>
        <w:rPr>
          <w:rFonts w:hint="eastAsia"/>
        </w:rPr>
        <w:t>领英</w:t>
      </w:r>
      <w:r>
        <w:rPr>
          <w:rFonts w:hint="eastAsia"/>
        </w:rPr>
        <w:t>.</w:t>
      </w:r>
      <w:r>
        <w:rPr>
          <w:rFonts w:hint="eastAsia"/>
        </w:rPr>
        <w:t>中国新兴职业报告</w:t>
      </w:r>
      <w:r>
        <w:rPr>
          <w:rFonts w:hint="eastAsia"/>
        </w:rPr>
        <w:t>[R].2019.02</w:t>
      </w:r>
    </w:p>
  </w:footnote>
  <w:footnote w:id="46">
    <w:p w14:paraId="13BFA380" w14:textId="77777777" w:rsidR="00602083" w:rsidRDefault="00E51994">
      <w:pPr>
        <w:pStyle w:val="affffff4"/>
      </w:pPr>
      <w:r>
        <w:t>[</w:t>
      </w:r>
      <w:r>
        <w:footnoteRef/>
      </w:r>
      <w:r>
        <w:t xml:space="preserve">] </w:t>
      </w:r>
      <w:r>
        <w:rPr>
          <w:rFonts w:hint="eastAsia"/>
        </w:rPr>
        <w:t>中国信息通信研究院</w:t>
      </w:r>
      <w:r>
        <w:rPr>
          <w:rFonts w:hint="eastAsia"/>
        </w:rPr>
        <w:t>.</w:t>
      </w:r>
      <w:r>
        <w:rPr>
          <w:rFonts w:hint="eastAsia"/>
        </w:rPr>
        <w:t>数字化就业新职业新岗位报告</w:t>
      </w:r>
      <w:r>
        <w:rPr>
          <w:rFonts w:hint="eastAsia"/>
        </w:rPr>
        <w:t>[R].2021.04</w:t>
      </w:r>
    </w:p>
  </w:footnote>
  <w:footnote w:id="47">
    <w:p w14:paraId="39F0153B" w14:textId="77777777" w:rsidR="00602083" w:rsidRDefault="00E51994">
      <w:pPr>
        <w:pStyle w:val="affffff4"/>
      </w:pPr>
      <w:r>
        <w:t>[</w:t>
      </w:r>
      <w:r>
        <w:footnoteRef/>
      </w:r>
      <w:r>
        <w:t xml:space="preserve">] </w:t>
      </w:r>
      <w:r>
        <w:rPr>
          <w:rFonts w:hint="eastAsia"/>
        </w:rPr>
        <w:t>美团研究院</w:t>
      </w:r>
      <w:r>
        <w:rPr>
          <w:rFonts w:hint="eastAsia"/>
        </w:rPr>
        <w:t>.2020</w:t>
      </w:r>
      <w:r>
        <w:rPr>
          <w:rFonts w:hint="eastAsia"/>
        </w:rPr>
        <w:t>年上半年骑手就业报告</w:t>
      </w:r>
      <w:r>
        <w:rPr>
          <w:rFonts w:hint="eastAsia"/>
        </w:rPr>
        <w:t>[EB/OL].</w:t>
      </w:r>
      <w:r>
        <w:t xml:space="preserve"> </w:t>
      </w:r>
      <w:r>
        <w:rPr>
          <w:rFonts w:hint="eastAsia"/>
        </w:rPr>
        <w:t>https://mp.weixin.qq.com/s/cMEfsTfLfvSxF88dLN8LIw,2020.</w:t>
      </w:r>
    </w:p>
  </w:footnote>
  <w:footnote w:id="48">
    <w:p w14:paraId="4A6B46F5" w14:textId="77777777" w:rsidR="00602083" w:rsidRDefault="00E51994">
      <w:pPr>
        <w:pStyle w:val="affffff4"/>
      </w:pPr>
      <w:r>
        <w:t>[</w:t>
      </w:r>
      <w:r>
        <w:footnoteRef/>
      </w:r>
      <w:r>
        <w:t xml:space="preserve">] </w:t>
      </w:r>
      <w:r>
        <w:rPr>
          <w:rFonts w:hint="eastAsia"/>
        </w:rPr>
        <w:t>中国信息通信研究院</w:t>
      </w:r>
      <w:r>
        <w:rPr>
          <w:rFonts w:hint="eastAsia"/>
        </w:rPr>
        <w:t>.</w:t>
      </w:r>
      <w:r>
        <w:rPr>
          <w:rFonts w:hint="eastAsia"/>
        </w:rPr>
        <w:t>数字化就业新职业新岗位报告</w:t>
      </w:r>
      <w:r>
        <w:rPr>
          <w:rFonts w:hint="eastAsia"/>
        </w:rPr>
        <w:t>[R].2021-04</w:t>
      </w:r>
    </w:p>
  </w:footnote>
  <w:footnote w:id="49">
    <w:p w14:paraId="108E0CA2" w14:textId="77777777" w:rsidR="00602083" w:rsidRDefault="00E51994">
      <w:pPr>
        <w:pStyle w:val="affffff4"/>
      </w:pPr>
      <w:r>
        <w:t>[</w:t>
      </w:r>
      <w:r>
        <w:footnoteRef/>
      </w:r>
      <w:r>
        <w:t xml:space="preserve">] </w:t>
      </w:r>
      <w:r>
        <w:rPr>
          <w:rFonts w:hint="eastAsia"/>
        </w:rPr>
        <w:t>李勇坚</w:t>
      </w:r>
      <w:r>
        <w:rPr>
          <w:rFonts w:hint="eastAsia"/>
        </w:rPr>
        <w:t xml:space="preserve">. </w:t>
      </w:r>
      <w:r>
        <w:rPr>
          <w:rFonts w:hint="eastAsia"/>
        </w:rPr>
        <w:t>数字经济是就业杀手吗？</w:t>
      </w:r>
      <w:r>
        <w:rPr>
          <w:rFonts w:hint="eastAsia"/>
        </w:rPr>
        <w:t>[EB/OL]. [2021-03-15]. https://mp.weixin.qq.com/s/uOjJADdj3bjY08If8q1fjQ.</w:t>
      </w:r>
    </w:p>
  </w:footnote>
  <w:footnote w:id="50">
    <w:p w14:paraId="34875E58" w14:textId="77777777" w:rsidR="00602083" w:rsidRDefault="00E51994">
      <w:pPr>
        <w:pStyle w:val="affffff4"/>
      </w:pPr>
      <w:r>
        <w:t>[</w:t>
      </w:r>
      <w:r>
        <w:footnoteRef/>
      </w:r>
      <w:r>
        <w:t xml:space="preserve">] </w:t>
      </w:r>
      <w:r>
        <w:rPr>
          <w:rFonts w:hint="eastAsia"/>
        </w:rPr>
        <w:t>中国社科院战略研究所</w:t>
      </w:r>
      <w:r>
        <w:rPr>
          <w:rFonts w:hint="eastAsia"/>
        </w:rPr>
        <w:t>,</w:t>
      </w:r>
      <w:r>
        <w:rPr>
          <w:rFonts w:hint="eastAsia"/>
        </w:rPr>
        <w:t>阿里云研究中心</w:t>
      </w:r>
      <w:r>
        <w:rPr>
          <w:rFonts w:hint="eastAsia"/>
        </w:rPr>
        <w:t>.</w:t>
      </w:r>
      <w:r>
        <w:rPr>
          <w:rFonts w:hint="eastAsia"/>
        </w:rPr>
        <w:t>云计算的社会经济价值和区域发展评估</w:t>
      </w:r>
      <w:r>
        <w:rPr>
          <w:rFonts w:hint="eastAsia"/>
        </w:rPr>
        <w:t>[R].2020-09.</w:t>
      </w:r>
    </w:p>
  </w:footnote>
  <w:footnote w:id="51">
    <w:p w14:paraId="483B3859" w14:textId="77777777" w:rsidR="00602083" w:rsidRDefault="00E51994">
      <w:pPr>
        <w:pStyle w:val="affffff4"/>
      </w:pPr>
      <w:r>
        <w:t>[</w:t>
      </w:r>
      <w:r>
        <w:footnoteRef/>
      </w:r>
      <w:r>
        <w:t xml:space="preserve">] </w:t>
      </w:r>
      <w:r>
        <w:rPr>
          <w:rFonts w:hint="eastAsia"/>
        </w:rPr>
        <w:t>美团研究院</w:t>
      </w:r>
      <w:r>
        <w:rPr>
          <w:rFonts w:hint="eastAsia"/>
        </w:rPr>
        <w:t>.2020</w:t>
      </w:r>
      <w:r>
        <w:rPr>
          <w:rFonts w:hint="eastAsia"/>
        </w:rPr>
        <w:t>年上半年骑手就业报告</w:t>
      </w:r>
      <w:r>
        <w:rPr>
          <w:rFonts w:hint="eastAsia"/>
        </w:rPr>
        <w:t>[[EB/OL].</w:t>
      </w:r>
      <w:r>
        <w:t xml:space="preserve"> </w:t>
      </w:r>
      <w:r>
        <w:rPr>
          <w:rFonts w:hint="eastAsia"/>
        </w:rPr>
        <w:t>https://mp.weixin.qq.com/s/cMEfsTfLfvSxF88dLN8LIw,2020.</w:t>
      </w:r>
    </w:p>
  </w:footnote>
  <w:footnote w:id="52">
    <w:p w14:paraId="22ED9B21" w14:textId="77777777" w:rsidR="00602083" w:rsidRDefault="00E51994">
      <w:pPr>
        <w:pStyle w:val="affffff4"/>
      </w:pPr>
      <w:r>
        <w:t>[</w:t>
      </w:r>
      <w:r>
        <w:footnoteRef/>
      </w:r>
      <w:r>
        <w:t xml:space="preserve">] </w:t>
      </w:r>
      <w:r>
        <w:rPr>
          <w:rFonts w:hint="eastAsia"/>
        </w:rPr>
        <w:t>中华女子学院、阿里研究院</w:t>
      </w:r>
      <w:r>
        <w:rPr>
          <w:rFonts w:hint="eastAsia"/>
        </w:rPr>
        <w:t>,2019</w:t>
      </w:r>
      <w:r>
        <w:rPr>
          <w:rFonts w:hint="eastAsia"/>
        </w:rPr>
        <w:t>阿里巴巴全球女性创业就业研究报告</w:t>
      </w:r>
      <w:r>
        <w:rPr>
          <w:rFonts w:hint="eastAsia"/>
        </w:rPr>
        <w:t>[R].2019.09</w:t>
      </w:r>
    </w:p>
  </w:footnote>
  <w:footnote w:id="53">
    <w:p w14:paraId="106510F1" w14:textId="77777777" w:rsidR="00602083" w:rsidRDefault="00E51994">
      <w:pPr>
        <w:pStyle w:val="affffff4"/>
      </w:pPr>
      <w:r>
        <w:t>[</w:t>
      </w:r>
      <w:r>
        <w:footnoteRef/>
      </w:r>
      <w:r>
        <w:t xml:space="preserve">] </w:t>
      </w:r>
      <w:r>
        <w:rPr>
          <w:rFonts w:hint="eastAsia"/>
        </w:rPr>
        <w:t>携程</w:t>
      </w:r>
      <w:r>
        <w:rPr>
          <w:rFonts w:hint="eastAsia"/>
        </w:rPr>
        <w:t>.</w:t>
      </w:r>
      <w:r>
        <w:rPr>
          <w:rFonts w:hint="eastAsia"/>
        </w:rPr>
        <w:t>旅游新职业女性从业报告（</w:t>
      </w:r>
      <w:r>
        <w:rPr>
          <w:rFonts w:hint="eastAsia"/>
        </w:rPr>
        <w:t>2019</w:t>
      </w:r>
      <w:r>
        <w:rPr>
          <w:rFonts w:hint="eastAsia"/>
        </w:rPr>
        <w:t>）</w:t>
      </w:r>
      <w:r>
        <w:rPr>
          <w:rFonts w:hint="eastAsia"/>
        </w:rPr>
        <w:t>[R].2019-03</w:t>
      </w:r>
    </w:p>
  </w:footnote>
  <w:footnote w:id="54">
    <w:p w14:paraId="104799C3" w14:textId="77777777" w:rsidR="00602083" w:rsidRDefault="00E51994">
      <w:pPr>
        <w:pStyle w:val="affffff4"/>
      </w:pPr>
      <w:r>
        <w:t>[</w:t>
      </w:r>
      <w:r>
        <w:footnoteRef/>
      </w:r>
      <w:r>
        <w:t xml:space="preserve">] </w:t>
      </w:r>
      <w:r>
        <w:rPr>
          <w:rFonts w:hint="eastAsia"/>
        </w:rPr>
        <w:t>美团研究院</w:t>
      </w:r>
      <w:r>
        <w:rPr>
          <w:rFonts w:hint="eastAsia"/>
        </w:rPr>
        <w:t>.2020</w:t>
      </w:r>
      <w:r>
        <w:rPr>
          <w:rFonts w:hint="eastAsia"/>
        </w:rPr>
        <w:t>年上半年骑手就业报告</w:t>
      </w:r>
      <w:r>
        <w:rPr>
          <w:rFonts w:hint="eastAsia"/>
        </w:rPr>
        <w:t>[EB/OL].</w:t>
      </w:r>
      <w:r>
        <w:t xml:space="preserve"> </w:t>
      </w:r>
      <w:r>
        <w:rPr>
          <w:rFonts w:hint="eastAsia"/>
        </w:rPr>
        <w:t>https://mp.weixin.qq.com/s/cMEfsTfLfvSxF88dLN8LIw,2020.</w:t>
      </w:r>
    </w:p>
  </w:footnote>
  <w:footnote w:id="55">
    <w:p w14:paraId="25E287C3" w14:textId="77777777" w:rsidR="00602083" w:rsidRDefault="00E51994">
      <w:pPr>
        <w:pStyle w:val="affffff4"/>
      </w:pPr>
      <w:r>
        <w:t>[</w:t>
      </w:r>
      <w:r>
        <w:footnoteRef/>
      </w:r>
      <w:r>
        <w:t>] Acemoglu D , Restrepo P . Robots and Jobs: Evidence from US Labor Markets[J]. NBER Working Papers, 2017.</w:t>
      </w:r>
    </w:p>
  </w:footnote>
  <w:footnote w:id="56">
    <w:p w14:paraId="7E7F06F9" w14:textId="77777777" w:rsidR="00602083" w:rsidRDefault="00E51994">
      <w:pPr>
        <w:pStyle w:val="affffff4"/>
      </w:pPr>
      <w:r>
        <w:t>[</w:t>
      </w:r>
      <w:r>
        <w:footnoteRef/>
      </w:r>
      <w:r>
        <w:t xml:space="preserve">] </w:t>
      </w:r>
      <w:r>
        <w:rPr>
          <w:rFonts w:hint="eastAsia"/>
        </w:rPr>
        <w:t>黄浩</w:t>
      </w:r>
      <w:r>
        <w:rPr>
          <w:rFonts w:hint="eastAsia"/>
        </w:rPr>
        <w:t>.</w:t>
      </w:r>
      <w:r>
        <w:rPr>
          <w:rFonts w:hint="eastAsia"/>
        </w:rPr>
        <w:t>数字经济带来的就业挑战与应对措施</w:t>
      </w:r>
      <w:r>
        <w:rPr>
          <w:rFonts w:hint="eastAsia"/>
        </w:rPr>
        <w:t>[J].</w:t>
      </w:r>
      <w:r>
        <w:rPr>
          <w:rFonts w:hint="eastAsia"/>
        </w:rPr>
        <w:t>人民论坛</w:t>
      </w:r>
      <w:r>
        <w:rPr>
          <w:rFonts w:hint="eastAsia"/>
        </w:rPr>
        <w:t>,2021(01):16-18.</w:t>
      </w:r>
    </w:p>
  </w:footnote>
  <w:footnote w:id="57">
    <w:p w14:paraId="6A3B7511" w14:textId="77777777" w:rsidR="00602083" w:rsidRDefault="00E51994">
      <w:pPr>
        <w:pStyle w:val="affffff4"/>
      </w:pPr>
      <w:r>
        <w:t>[</w:t>
      </w:r>
      <w:r>
        <w:footnoteRef/>
      </w:r>
      <w:r>
        <w:t xml:space="preserve">] </w:t>
      </w:r>
      <w:r>
        <w:rPr>
          <w:rFonts w:hint="eastAsia"/>
        </w:rPr>
        <w:t>龚六堂</w:t>
      </w:r>
      <w:r>
        <w:rPr>
          <w:rFonts w:hint="eastAsia"/>
        </w:rPr>
        <w:t>.</w:t>
      </w:r>
      <w:r>
        <w:rPr>
          <w:rFonts w:hint="eastAsia"/>
        </w:rPr>
        <w:t>数字经济就业的特征、影响及应对策略</w:t>
      </w:r>
      <w:r>
        <w:rPr>
          <w:rFonts w:hint="eastAsia"/>
        </w:rPr>
        <w:t>[J].</w:t>
      </w:r>
      <w:r>
        <w:rPr>
          <w:rFonts w:hint="eastAsia"/>
        </w:rPr>
        <w:t>国家治理</w:t>
      </w:r>
      <w:r>
        <w:rPr>
          <w:rFonts w:hint="eastAsia"/>
        </w:rPr>
        <w:t>,2021(23):29-35.</w:t>
      </w:r>
    </w:p>
  </w:footnote>
  <w:footnote w:id="58">
    <w:p w14:paraId="0606FBB3" w14:textId="77777777" w:rsidR="00602083" w:rsidRDefault="00E51994">
      <w:pPr>
        <w:pStyle w:val="affffff4"/>
      </w:pPr>
      <w:r>
        <w:t>[</w:t>
      </w:r>
      <w:r>
        <w:footnoteRef/>
      </w:r>
      <w:r>
        <w:t xml:space="preserve">] </w:t>
      </w:r>
      <w:r>
        <w:rPr>
          <w:rFonts w:hint="eastAsia"/>
        </w:rPr>
        <w:t>杨飞虎</w:t>
      </w:r>
      <w:r>
        <w:rPr>
          <w:rFonts w:hint="eastAsia"/>
        </w:rPr>
        <w:t>,</w:t>
      </w:r>
      <w:r>
        <w:rPr>
          <w:rFonts w:hint="eastAsia"/>
        </w:rPr>
        <w:t>张玉雯</w:t>
      </w:r>
      <w:r>
        <w:rPr>
          <w:rFonts w:hint="eastAsia"/>
        </w:rPr>
        <w:t>,</w:t>
      </w:r>
      <w:r>
        <w:rPr>
          <w:rFonts w:hint="eastAsia"/>
        </w:rPr>
        <w:t>吕佳璇</w:t>
      </w:r>
      <w:r>
        <w:rPr>
          <w:rFonts w:hint="eastAsia"/>
        </w:rPr>
        <w:t>.</w:t>
      </w:r>
      <w:r>
        <w:rPr>
          <w:rFonts w:hint="eastAsia"/>
        </w:rPr>
        <w:t>数字经济时代中国稳就业的挑战及政策建议</w:t>
      </w:r>
      <w:r>
        <w:rPr>
          <w:rFonts w:hint="eastAsia"/>
        </w:rPr>
        <w:t>[J/OL].</w:t>
      </w:r>
      <w:r>
        <w:rPr>
          <w:rFonts w:hint="eastAsia"/>
        </w:rPr>
        <w:t>东北财经大学学报</w:t>
      </w:r>
      <w:r>
        <w:rPr>
          <w:rFonts w:hint="eastAsia"/>
        </w:rPr>
        <w:t>:1-8[2021-08-27].https://doi.org/10.19653/j.cnki.dbcjdxxb.2021.05.007.</w:t>
      </w:r>
    </w:p>
  </w:footnote>
  <w:footnote w:id="59">
    <w:p w14:paraId="54F2B26E" w14:textId="77777777" w:rsidR="00602083" w:rsidRDefault="00E51994">
      <w:pPr>
        <w:pStyle w:val="affffff4"/>
      </w:pPr>
      <w:r>
        <w:t>[</w:t>
      </w:r>
      <w:r>
        <w:footnoteRef/>
      </w:r>
      <w:r>
        <w:t xml:space="preserve">] </w:t>
      </w:r>
      <w:r>
        <w:rPr>
          <w:rFonts w:hint="eastAsia"/>
        </w:rPr>
        <w:t>美团研究院</w:t>
      </w:r>
      <w:r>
        <w:rPr>
          <w:rFonts w:hint="eastAsia"/>
        </w:rPr>
        <w:t>.2020</w:t>
      </w:r>
      <w:r>
        <w:rPr>
          <w:rFonts w:hint="eastAsia"/>
        </w:rPr>
        <w:t>年上半年骑手就业报告</w:t>
      </w:r>
      <w:r>
        <w:rPr>
          <w:rFonts w:hint="eastAsia"/>
        </w:rPr>
        <w:t>[R].2020-07</w:t>
      </w:r>
    </w:p>
  </w:footnote>
  <w:footnote w:id="60">
    <w:p w14:paraId="7DB40CD6" w14:textId="77777777" w:rsidR="00602083" w:rsidRDefault="00E51994">
      <w:pPr>
        <w:pStyle w:val="affffff4"/>
      </w:pPr>
      <w:r>
        <w:t>[</w:t>
      </w:r>
      <w:r>
        <w:footnoteRef/>
      </w:r>
      <w:r>
        <w:t xml:space="preserve">] </w:t>
      </w:r>
      <w:r>
        <w:rPr>
          <w:rFonts w:hint="eastAsia"/>
        </w:rPr>
        <w:t>国家工业信息安全发展研究中心</w:t>
      </w:r>
      <w:r>
        <w:rPr>
          <w:rFonts w:hint="eastAsia"/>
        </w:rPr>
        <w:t>.</w:t>
      </w:r>
      <w:r>
        <w:rPr>
          <w:rFonts w:hint="eastAsia"/>
        </w:rPr>
        <w:t>人工智能与制造业融合发展白皮书</w:t>
      </w:r>
      <w:r>
        <w:rPr>
          <w:rFonts w:hint="eastAsia"/>
        </w:rPr>
        <w:t>2020[R].2020-11</w:t>
      </w:r>
    </w:p>
  </w:footnote>
  <w:footnote w:id="61">
    <w:p w14:paraId="7F5D56A3" w14:textId="77777777" w:rsidR="00602083" w:rsidRDefault="00E51994">
      <w:pPr>
        <w:pStyle w:val="affffff4"/>
      </w:pPr>
      <w:r>
        <w:t>[</w:t>
      </w:r>
      <w:r>
        <w:footnoteRef/>
      </w:r>
      <w:r>
        <w:t xml:space="preserve">] </w:t>
      </w:r>
      <w:r>
        <w:rPr>
          <w:rFonts w:hint="eastAsia"/>
        </w:rPr>
        <w:t>汪雁</w:t>
      </w:r>
      <w:r>
        <w:rPr>
          <w:rFonts w:hint="eastAsia"/>
        </w:rPr>
        <w:t>,</w:t>
      </w:r>
      <w:r>
        <w:rPr>
          <w:rFonts w:hint="eastAsia"/>
        </w:rPr>
        <w:t>张丽华</w:t>
      </w:r>
      <w:r>
        <w:rPr>
          <w:rFonts w:hint="eastAsia"/>
        </w:rPr>
        <w:t>.</w:t>
      </w:r>
      <w:r>
        <w:rPr>
          <w:rFonts w:hint="eastAsia"/>
        </w:rPr>
        <w:t>关于我国共享经济新就业形态的研究</w:t>
      </w:r>
      <w:r>
        <w:rPr>
          <w:rFonts w:hint="eastAsia"/>
        </w:rPr>
        <w:t>[J].</w:t>
      </w:r>
      <w:r>
        <w:rPr>
          <w:rFonts w:hint="eastAsia"/>
        </w:rPr>
        <w:t>中国劳动关系学院学报</w:t>
      </w:r>
      <w:r>
        <w:rPr>
          <w:rFonts w:hint="eastAsia"/>
        </w:rPr>
        <w:t>,2019,33(02):49-59+98.</w:t>
      </w:r>
    </w:p>
  </w:footnote>
  <w:footnote w:id="62">
    <w:p w14:paraId="3AD1B6CF" w14:textId="77777777" w:rsidR="00602083" w:rsidRDefault="00E51994">
      <w:pPr>
        <w:pStyle w:val="affffff4"/>
      </w:pPr>
      <w:r>
        <w:t>[</w:t>
      </w:r>
      <w:r>
        <w:footnoteRef/>
      </w:r>
      <w:r>
        <w:t xml:space="preserve">] </w:t>
      </w:r>
      <w:r>
        <w:t>北京市协作者社会工作发展中心</w:t>
      </w:r>
      <w:r>
        <w:rPr>
          <w:rFonts w:hint="eastAsia"/>
        </w:rPr>
        <w:t>.</w:t>
      </w:r>
      <w:r>
        <w:rPr>
          <w:rFonts w:hint="eastAsia"/>
        </w:rPr>
        <w:t>骑手生</w:t>
      </w:r>
      <w:r>
        <w:rPr>
          <w:rFonts w:hint="eastAsia"/>
          <w:shd w:val="clear" w:color="auto" w:fill="FFFFFF"/>
        </w:rPr>
        <w:t>存与发展需求报告</w:t>
      </w:r>
      <w:r>
        <w:rPr>
          <w:rFonts w:hint="eastAsia"/>
          <w:shd w:val="clear" w:color="auto" w:fill="FFFFFF"/>
        </w:rPr>
        <w:t>[R].2020-05</w:t>
      </w:r>
    </w:p>
  </w:footnote>
  <w:footnote w:id="63">
    <w:p w14:paraId="1A5EE5F7" w14:textId="77777777" w:rsidR="00602083" w:rsidRDefault="00E51994">
      <w:pPr>
        <w:pStyle w:val="affffff4"/>
      </w:pPr>
      <w:r>
        <w:t>[</w:t>
      </w:r>
      <w:r>
        <w:footnoteRef/>
      </w:r>
      <w:r>
        <w:t xml:space="preserve">] </w:t>
      </w:r>
      <w:r>
        <w:rPr>
          <w:rFonts w:hint="eastAsia"/>
        </w:rPr>
        <w:t>中国邮政快递报社</w:t>
      </w:r>
      <w:r>
        <w:rPr>
          <w:rFonts w:hint="eastAsia"/>
        </w:rPr>
        <w:t>.2019</w:t>
      </w:r>
      <w:r>
        <w:rPr>
          <w:rFonts w:hint="eastAsia"/>
        </w:rPr>
        <w:t>年全国快递从业人员职业调查报告</w:t>
      </w:r>
      <w:r>
        <w:rPr>
          <w:rFonts w:hint="eastAsia"/>
        </w:rPr>
        <w:t>[R].2020-01</w:t>
      </w:r>
    </w:p>
  </w:footnote>
  <w:footnote w:id="64">
    <w:p w14:paraId="45A8E223" w14:textId="77777777" w:rsidR="00602083" w:rsidRDefault="00E51994">
      <w:pPr>
        <w:pStyle w:val="affffff4"/>
      </w:pPr>
      <w:r>
        <w:t>[</w:t>
      </w:r>
      <w:r>
        <w:footnoteRef/>
      </w:r>
      <w:r>
        <w:t xml:space="preserve">] </w:t>
      </w:r>
      <w:r>
        <w:rPr>
          <w:rFonts w:hint="eastAsia"/>
        </w:rPr>
        <w:t>清华大学社会科学学院企业责任与社会发展研究中心</w:t>
      </w:r>
      <w:r>
        <w:rPr>
          <w:rFonts w:hint="eastAsia"/>
        </w:rPr>
        <w:t xml:space="preserve">.2021 </w:t>
      </w:r>
      <w:r>
        <w:rPr>
          <w:rFonts w:hint="eastAsia"/>
        </w:rPr>
        <w:t>年中国一线城市出行平台调研报告</w:t>
      </w:r>
      <w:r>
        <w:rPr>
          <w:rFonts w:hint="eastAsia"/>
        </w:rPr>
        <w:t>[R].2021-05</w:t>
      </w:r>
    </w:p>
  </w:footnote>
  <w:footnote w:id="65">
    <w:p w14:paraId="7AF83566" w14:textId="77777777" w:rsidR="00602083" w:rsidRDefault="00E51994">
      <w:pPr>
        <w:pStyle w:val="affffff4"/>
      </w:pPr>
      <w:r>
        <w:t>[</w:t>
      </w:r>
      <w:r>
        <w:footnoteRef/>
      </w:r>
      <w:r>
        <w:t xml:space="preserve">] </w:t>
      </w:r>
      <w:r>
        <w:rPr>
          <w:rFonts w:hint="eastAsia"/>
        </w:rPr>
        <w:t>中国物流与采购联合会</w:t>
      </w:r>
      <w:r>
        <w:rPr>
          <w:rFonts w:hint="eastAsia"/>
        </w:rPr>
        <w:t>.2021</w:t>
      </w:r>
      <w:r>
        <w:rPr>
          <w:rFonts w:hint="eastAsia"/>
        </w:rPr>
        <w:t>年货车司机从业状况调查报告</w:t>
      </w:r>
      <w:r>
        <w:rPr>
          <w:rFonts w:hint="eastAsia"/>
        </w:rPr>
        <w:t>[R].2021-06</w:t>
      </w:r>
    </w:p>
  </w:footnote>
  <w:footnote w:id="66">
    <w:p w14:paraId="1F257E59" w14:textId="77777777" w:rsidR="00602083" w:rsidRDefault="00E51994">
      <w:pPr>
        <w:pStyle w:val="affffff4"/>
      </w:pPr>
      <w:r>
        <w:t>[</w:t>
      </w:r>
      <w:r>
        <w:footnoteRef/>
      </w:r>
      <w:r>
        <w:t xml:space="preserve">] </w:t>
      </w:r>
      <w:r>
        <w:t>北京致诚农民工法律援助与研究中心</w:t>
      </w:r>
      <w:r>
        <w:rPr>
          <w:rFonts w:hint="eastAsia"/>
        </w:rPr>
        <w:t>.</w:t>
      </w:r>
      <w:r>
        <w:rPr>
          <w:rFonts w:hint="eastAsia"/>
        </w:rPr>
        <w:t>《外卖平台用工模式法律研究报告》</w:t>
      </w:r>
      <w:r>
        <w:rPr>
          <w:rFonts w:hint="eastAsia"/>
        </w:rPr>
        <w:t>.2020.09</w:t>
      </w:r>
    </w:p>
  </w:footnote>
  <w:footnote w:id="67">
    <w:p w14:paraId="7C6CCC35" w14:textId="77777777" w:rsidR="00602083" w:rsidRDefault="00E51994">
      <w:pPr>
        <w:pStyle w:val="affffff4"/>
      </w:pPr>
      <w:r>
        <w:t>[</w:t>
      </w:r>
      <w:r>
        <w:footnoteRef/>
      </w:r>
      <w:r>
        <w:t xml:space="preserve">] </w:t>
      </w:r>
      <w:r>
        <w:t>北京致诚农民工法律援助与研究中心</w:t>
      </w:r>
      <w:r>
        <w:rPr>
          <w:rFonts w:hint="eastAsia"/>
        </w:rPr>
        <w:t>.</w:t>
      </w:r>
      <w:r>
        <w:rPr>
          <w:rFonts w:hint="eastAsia"/>
        </w:rPr>
        <w:t>《外卖平台用工模式法律研究报告》</w:t>
      </w:r>
      <w:r>
        <w:rPr>
          <w:rFonts w:hint="eastAsia"/>
        </w:rPr>
        <w:t>.2020.09</w:t>
      </w:r>
    </w:p>
  </w:footnote>
  <w:footnote w:id="68">
    <w:p w14:paraId="74E31013" w14:textId="77777777" w:rsidR="00602083" w:rsidRDefault="00E51994">
      <w:pPr>
        <w:pStyle w:val="affffff4"/>
      </w:pPr>
      <w:r>
        <w:t>[</w:t>
      </w:r>
      <w:r>
        <w:footnoteRef/>
      </w:r>
      <w:r>
        <w:t xml:space="preserve">] </w:t>
      </w:r>
      <w:r>
        <w:t>北京致诚农民工法律援助与研究中心</w:t>
      </w:r>
      <w:r>
        <w:rPr>
          <w:rFonts w:hint="eastAsia"/>
        </w:rPr>
        <w:t>.</w:t>
      </w:r>
      <w:r>
        <w:rPr>
          <w:rFonts w:hint="eastAsia"/>
        </w:rPr>
        <w:t>《外卖平台用工模式法律研究报告》</w:t>
      </w:r>
      <w:r>
        <w:rPr>
          <w:rFonts w:hint="eastAsia"/>
        </w:rPr>
        <w:t>.2020.09</w:t>
      </w:r>
    </w:p>
  </w:footnote>
  <w:footnote w:id="69">
    <w:p w14:paraId="45ECAECD" w14:textId="77777777" w:rsidR="00602083" w:rsidRDefault="00E51994">
      <w:pPr>
        <w:pStyle w:val="affffff4"/>
      </w:pPr>
      <w:r>
        <w:t>[</w:t>
      </w:r>
      <w:r>
        <w:footnoteRef/>
      </w:r>
      <w:r>
        <w:t>] Boston Consulting Group (BCG). The Future of Jobs in the Era of AI[EB/OL]., https://www.bcg.com/publications/2021/impact-of-new-technologies-on-jobs .2021-03-18</w:t>
      </w:r>
    </w:p>
  </w:footnote>
  <w:footnote w:id="70">
    <w:p w14:paraId="23FAB8BB" w14:textId="77777777" w:rsidR="00602083" w:rsidRDefault="00E51994">
      <w:pPr>
        <w:pStyle w:val="affffff4"/>
      </w:pPr>
      <w:r>
        <w:t>[</w:t>
      </w:r>
      <w:r>
        <w:footnoteRef/>
      </w:r>
      <w:r>
        <w:t xml:space="preserve">] </w:t>
      </w:r>
      <w:r>
        <w:rPr>
          <w:rFonts w:hint="eastAsia"/>
        </w:rPr>
        <w:t>中国信息通信研究院</w:t>
      </w:r>
      <w:r>
        <w:rPr>
          <w:rFonts w:hint="eastAsia"/>
        </w:rPr>
        <w:t>.</w:t>
      </w:r>
      <w:r>
        <w:rPr>
          <w:rFonts w:hint="eastAsia"/>
        </w:rPr>
        <w:t>数字经济就业影响研究报告</w:t>
      </w:r>
      <w:r>
        <w:rPr>
          <w:rFonts w:hint="eastAsia"/>
        </w:rPr>
        <w:t>[R].2021.10</w:t>
      </w:r>
    </w:p>
  </w:footnote>
  <w:footnote w:id="71">
    <w:p w14:paraId="648D91A2" w14:textId="77777777" w:rsidR="00602083" w:rsidRDefault="00E51994">
      <w:pPr>
        <w:pStyle w:val="affffff4"/>
      </w:pPr>
      <w:r>
        <w:t>[</w:t>
      </w:r>
      <w:r>
        <w:footnoteRef/>
      </w:r>
      <w:r>
        <w:t>] https://baijiahao.baidu.com/s?id=1716365057743755329&amp;wfr=spider&amp;for=pc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5911" w14:textId="77777777" w:rsidR="00602083" w:rsidRDefault="00602083">
    <w:pPr>
      <w:pBdr>
        <w:bottom w:val="single" w:sz="6" w:space="1" w:color="auto"/>
      </w:pBdr>
      <w:tabs>
        <w:tab w:val="center" w:pos="4153"/>
        <w:tab w:val="right" w:pos="8306"/>
      </w:tabs>
      <w:snapToGrid w:val="0"/>
      <w:spacing w:line="240" w:lineRule="atLeast"/>
      <w:ind w:firstLine="360"/>
      <w:jc w:val="center"/>
      <w:rPr>
        <w:rFonts w:eastAsia="宋体"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D240" w14:textId="77777777" w:rsidR="00602083" w:rsidRDefault="00602083">
    <w:pPr>
      <w:pStyle w:val="af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A391" w14:textId="77777777" w:rsidR="00602083" w:rsidRDefault="00602083">
    <w:pPr>
      <w:pBdr>
        <w:bottom w:val="single" w:sz="6" w:space="1" w:color="auto"/>
      </w:pBdr>
      <w:tabs>
        <w:tab w:val="center" w:pos="4153"/>
        <w:tab w:val="right" w:pos="8306"/>
      </w:tabs>
      <w:snapToGrid w:val="0"/>
      <w:spacing w:line="240" w:lineRule="atLeast"/>
      <w:ind w:firstLine="360"/>
      <w:jc w:val="center"/>
      <w:rPr>
        <w:rFonts w:eastAsia="宋体" w:cs="Times New Roman"/>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FCC8" w14:textId="77777777" w:rsidR="00602083" w:rsidRDefault="00E51994">
    <w:pPr>
      <w:pStyle w:val="af5"/>
      <w:ind w:firstLine="420"/>
      <w:rPr>
        <w:sz w:val="21"/>
        <w:szCs w:val="21"/>
      </w:rPr>
    </w:pPr>
    <w:r>
      <w:rPr>
        <w:rFonts w:hint="eastAsia"/>
        <w:sz w:val="21"/>
        <w:szCs w:val="21"/>
      </w:rPr>
      <w:t>国家信息中心</w:t>
    </w:r>
    <w:r>
      <w:rPr>
        <w:rFonts w:hint="eastAsia"/>
        <w:sz w:val="21"/>
        <w:szCs w:val="21"/>
      </w:rPr>
      <w:t>2021</w:t>
    </w:r>
    <w:r>
      <w:rPr>
        <w:rFonts w:hint="eastAsia"/>
        <w:sz w:val="21"/>
        <w:szCs w:val="21"/>
      </w:rPr>
      <w:t>年度青年人才基础研究项目成果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9F9F95"/>
    <w:multiLevelType w:val="multilevel"/>
    <w:tmpl w:val="D39F9F95"/>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pStyle w:val="5"/>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1" w15:restartNumberingAfterBreak="0">
    <w:nsid w:val="35246DAF"/>
    <w:multiLevelType w:val="multilevel"/>
    <w:tmpl w:val="35246DA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5FD7859"/>
    <w:multiLevelType w:val="multilevel"/>
    <w:tmpl w:val="65FD7859"/>
    <w:lvl w:ilvl="0">
      <w:start w:val="1"/>
      <w:numFmt w:val="decimal"/>
      <w:pStyle w:val="a"/>
      <w:lvlText w:val="[%1]"/>
      <w:lvlJc w:val="left"/>
      <w:pPr>
        <w:tabs>
          <w:tab w:val="left" w:pos="360"/>
        </w:tabs>
        <w:ind w:left="340" w:hanging="34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ocumentProtection w:edit="forms" w:enforcement="1" w:cryptProviderType="rsaAES" w:cryptAlgorithmClass="hash" w:cryptAlgorithmType="typeAny" w:cryptAlgorithmSid="14" w:cryptSpinCount="100000" w:hash="IZZfhCIKUoECaRfdbmI0mP6yy7Wvtk9u9VaDo9AyxmrMAPdiem8dMb0XS2Oz/53qvZxS61xd0q515QsMPjCn6g==" w:salt="NIM76XsVd27PJeWpN9GUOQ=="/>
  <w:defaultTabStop w:val="60"/>
  <w:drawingGridHorizontalSpacing w:val="323"/>
  <w:drawingGridVerticalSpacing w:val="207"/>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29"/>
    <w:rsid w:val="00005B07"/>
    <w:rsid w:val="00024038"/>
    <w:rsid w:val="00024717"/>
    <w:rsid w:val="00026F7C"/>
    <w:rsid w:val="00027F2E"/>
    <w:rsid w:val="00033D5F"/>
    <w:rsid w:val="00046429"/>
    <w:rsid w:val="00047614"/>
    <w:rsid w:val="0005358C"/>
    <w:rsid w:val="00075C94"/>
    <w:rsid w:val="0008522B"/>
    <w:rsid w:val="000B5113"/>
    <w:rsid w:val="000B7AFD"/>
    <w:rsid w:val="000C6C6C"/>
    <w:rsid w:val="000C72F1"/>
    <w:rsid w:val="000D2E57"/>
    <w:rsid w:val="000E1FE0"/>
    <w:rsid w:val="000E5E8E"/>
    <w:rsid w:val="000F0FB7"/>
    <w:rsid w:val="000F1945"/>
    <w:rsid w:val="000F1F5F"/>
    <w:rsid w:val="00103BB0"/>
    <w:rsid w:val="00114B9E"/>
    <w:rsid w:val="00116131"/>
    <w:rsid w:val="0012213C"/>
    <w:rsid w:val="00153DC0"/>
    <w:rsid w:val="0016023C"/>
    <w:rsid w:val="00192CBD"/>
    <w:rsid w:val="001A47D2"/>
    <w:rsid w:val="001B49B5"/>
    <w:rsid w:val="001D196E"/>
    <w:rsid w:val="001F6B36"/>
    <w:rsid w:val="00203D35"/>
    <w:rsid w:val="0022055E"/>
    <w:rsid w:val="00222A3B"/>
    <w:rsid w:val="0022323D"/>
    <w:rsid w:val="00225317"/>
    <w:rsid w:val="00245740"/>
    <w:rsid w:val="00252521"/>
    <w:rsid w:val="00261D6B"/>
    <w:rsid w:val="002703E5"/>
    <w:rsid w:val="002804EC"/>
    <w:rsid w:val="002840CA"/>
    <w:rsid w:val="002A6F8D"/>
    <w:rsid w:val="002C02D9"/>
    <w:rsid w:val="002C498F"/>
    <w:rsid w:val="002D23E2"/>
    <w:rsid w:val="002F2F3C"/>
    <w:rsid w:val="003041F1"/>
    <w:rsid w:val="0031626D"/>
    <w:rsid w:val="00330F88"/>
    <w:rsid w:val="003315A9"/>
    <w:rsid w:val="003359FA"/>
    <w:rsid w:val="003571AA"/>
    <w:rsid w:val="003A379F"/>
    <w:rsid w:val="003B1993"/>
    <w:rsid w:val="003B64CD"/>
    <w:rsid w:val="003B6E5C"/>
    <w:rsid w:val="003E21DF"/>
    <w:rsid w:val="003E3907"/>
    <w:rsid w:val="004121F2"/>
    <w:rsid w:val="00433ED8"/>
    <w:rsid w:val="0045119D"/>
    <w:rsid w:val="004529C4"/>
    <w:rsid w:val="0046334D"/>
    <w:rsid w:val="004651C7"/>
    <w:rsid w:val="004669FA"/>
    <w:rsid w:val="004739B6"/>
    <w:rsid w:val="00480C14"/>
    <w:rsid w:val="00493A98"/>
    <w:rsid w:val="00496BEB"/>
    <w:rsid w:val="004A59EB"/>
    <w:rsid w:val="004B2BFD"/>
    <w:rsid w:val="004B7D12"/>
    <w:rsid w:val="004C0FF0"/>
    <w:rsid w:val="004C300D"/>
    <w:rsid w:val="004D0C30"/>
    <w:rsid w:val="004E2F68"/>
    <w:rsid w:val="004E65DD"/>
    <w:rsid w:val="004F612B"/>
    <w:rsid w:val="00503DB1"/>
    <w:rsid w:val="0051021F"/>
    <w:rsid w:val="00516607"/>
    <w:rsid w:val="00523AFF"/>
    <w:rsid w:val="00524C67"/>
    <w:rsid w:val="00530953"/>
    <w:rsid w:val="005416E2"/>
    <w:rsid w:val="00546440"/>
    <w:rsid w:val="005661A4"/>
    <w:rsid w:val="005664C9"/>
    <w:rsid w:val="00566689"/>
    <w:rsid w:val="0059314C"/>
    <w:rsid w:val="005A66E4"/>
    <w:rsid w:val="005B258A"/>
    <w:rsid w:val="005C0D79"/>
    <w:rsid w:val="005C629F"/>
    <w:rsid w:val="005E0A1A"/>
    <w:rsid w:val="00600043"/>
    <w:rsid w:val="00602083"/>
    <w:rsid w:val="0060737A"/>
    <w:rsid w:val="006079AA"/>
    <w:rsid w:val="00623719"/>
    <w:rsid w:val="00630778"/>
    <w:rsid w:val="006337FC"/>
    <w:rsid w:val="00655B12"/>
    <w:rsid w:val="00664AB3"/>
    <w:rsid w:val="00680A0F"/>
    <w:rsid w:val="006A15EC"/>
    <w:rsid w:val="006A7196"/>
    <w:rsid w:val="006C0507"/>
    <w:rsid w:val="006D4D6A"/>
    <w:rsid w:val="006E08EC"/>
    <w:rsid w:val="006E5B0C"/>
    <w:rsid w:val="006F0DC7"/>
    <w:rsid w:val="006F2151"/>
    <w:rsid w:val="006F5E9D"/>
    <w:rsid w:val="007047AB"/>
    <w:rsid w:val="007102FE"/>
    <w:rsid w:val="00717069"/>
    <w:rsid w:val="0072399E"/>
    <w:rsid w:val="007344A4"/>
    <w:rsid w:val="007625C1"/>
    <w:rsid w:val="00775EB2"/>
    <w:rsid w:val="00794E59"/>
    <w:rsid w:val="00796DB0"/>
    <w:rsid w:val="007B4256"/>
    <w:rsid w:val="007C0787"/>
    <w:rsid w:val="007C678B"/>
    <w:rsid w:val="007F009C"/>
    <w:rsid w:val="007F3230"/>
    <w:rsid w:val="007F76CC"/>
    <w:rsid w:val="0080630F"/>
    <w:rsid w:val="0080680A"/>
    <w:rsid w:val="008211A6"/>
    <w:rsid w:val="0083010A"/>
    <w:rsid w:val="008408DB"/>
    <w:rsid w:val="008524A8"/>
    <w:rsid w:val="00854B64"/>
    <w:rsid w:val="00855D16"/>
    <w:rsid w:val="00861D3A"/>
    <w:rsid w:val="00865A02"/>
    <w:rsid w:val="00865B5C"/>
    <w:rsid w:val="00874455"/>
    <w:rsid w:val="00883D7D"/>
    <w:rsid w:val="00885ED8"/>
    <w:rsid w:val="00894424"/>
    <w:rsid w:val="008A0590"/>
    <w:rsid w:val="008C46C6"/>
    <w:rsid w:val="008E5D87"/>
    <w:rsid w:val="008F4FB8"/>
    <w:rsid w:val="008F5FB1"/>
    <w:rsid w:val="008F6827"/>
    <w:rsid w:val="009120ED"/>
    <w:rsid w:val="00921C3E"/>
    <w:rsid w:val="00950C4E"/>
    <w:rsid w:val="009861D7"/>
    <w:rsid w:val="009B4896"/>
    <w:rsid w:val="009C793A"/>
    <w:rsid w:val="00A07E4D"/>
    <w:rsid w:val="00A11E1F"/>
    <w:rsid w:val="00A13C37"/>
    <w:rsid w:val="00A462A1"/>
    <w:rsid w:val="00A538A8"/>
    <w:rsid w:val="00A6201B"/>
    <w:rsid w:val="00A72370"/>
    <w:rsid w:val="00A74D16"/>
    <w:rsid w:val="00A90944"/>
    <w:rsid w:val="00AB7EFA"/>
    <w:rsid w:val="00AC36FD"/>
    <w:rsid w:val="00AC581C"/>
    <w:rsid w:val="00AD3AB5"/>
    <w:rsid w:val="00AE1505"/>
    <w:rsid w:val="00AE7D2A"/>
    <w:rsid w:val="00AF2F15"/>
    <w:rsid w:val="00AF654F"/>
    <w:rsid w:val="00AF7D6B"/>
    <w:rsid w:val="00B03057"/>
    <w:rsid w:val="00B07EE4"/>
    <w:rsid w:val="00B53F4D"/>
    <w:rsid w:val="00B603CE"/>
    <w:rsid w:val="00B66E1B"/>
    <w:rsid w:val="00B74478"/>
    <w:rsid w:val="00B84720"/>
    <w:rsid w:val="00B85CD5"/>
    <w:rsid w:val="00B871BC"/>
    <w:rsid w:val="00B87BA3"/>
    <w:rsid w:val="00B90C7E"/>
    <w:rsid w:val="00BA6469"/>
    <w:rsid w:val="00BD6FDC"/>
    <w:rsid w:val="00BE01DE"/>
    <w:rsid w:val="00BE0FD8"/>
    <w:rsid w:val="00BE77F7"/>
    <w:rsid w:val="00BF40A5"/>
    <w:rsid w:val="00BF798C"/>
    <w:rsid w:val="00C134E1"/>
    <w:rsid w:val="00C13C7F"/>
    <w:rsid w:val="00C154CC"/>
    <w:rsid w:val="00C17F9D"/>
    <w:rsid w:val="00C22CAD"/>
    <w:rsid w:val="00C2760D"/>
    <w:rsid w:val="00C3234E"/>
    <w:rsid w:val="00C41DF7"/>
    <w:rsid w:val="00C43EF2"/>
    <w:rsid w:val="00C5243B"/>
    <w:rsid w:val="00C66287"/>
    <w:rsid w:val="00C67165"/>
    <w:rsid w:val="00C70B4C"/>
    <w:rsid w:val="00C827AE"/>
    <w:rsid w:val="00C871D7"/>
    <w:rsid w:val="00C924DF"/>
    <w:rsid w:val="00C93B60"/>
    <w:rsid w:val="00CA0D54"/>
    <w:rsid w:val="00CA5608"/>
    <w:rsid w:val="00CB39E7"/>
    <w:rsid w:val="00CC600C"/>
    <w:rsid w:val="00CD128D"/>
    <w:rsid w:val="00CE180E"/>
    <w:rsid w:val="00CF6509"/>
    <w:rsid w:val="00CF67C9"/>
    <w:rsid w:val="00D07ECD"/>
    <w:rsid w:val="00D12C97"/>
    <w:rsid w:val="00D21C9C"/>
    <w:rsid w:val="00D40A70"/>
    <w:rsid w:val="00D4158B"/>
    <w:rsid w:val="00D4615E"/>
    <w:rsid w:val="00D508BC"/>
    <w:rsid w:val="00D86206"/>
    <w:rsid w:val="00D967E5"/>
    <w:rsid w:val="00DA3219"/>
    <w:rsid w:val="00DA6A9D"/>
    <w:rsid w:val="00DB2D0E"/>
    <w:rsid w:val="00DC67D9"/>
    <w:rsid w:val="00DC6B81"/>
    <w:rsid w:val="00DF52B1"/>
    <w:rsid w:val="00E06763"/>
    <w:rsid w:val="00E12EF5"/>
    <w:rsid w:val="00E35250"/>
    <w:rsid w:val="00E369D4"/>
    <w:rsid w:val="00E51994"/>
    <w:rsid w:val="00E574EA"/>
    <w:rsid w:val="00E575B5"/>
    <w:rsid w:val="00E6340E"/>
    <w:rsid w:val="00E914E2"/>
    <w:rsid w:val="00E92317"/>
    <w:rsid w:val="00EA44CA"/>
    <w:rsid w:val="00ED319C"/>
    <w:rsid w:val="00ED4381"/>
    <w:rsid w:val="00F041DA"/>
    <w:rsid w:val="00F06840"/>
    <w:rsid w:val="00F25865"/>
    <w:rsid w:val="00F26922"/>
    <w:rsid w:val="00F3184A"/>
    <w:rsid w:val="00F345B0"/>
    <w:rsid w:val="00F35419"/>
    <w:rsid w:val="00F50CEC"/>
    <w:rsid w:val="00F7062A"/>
    <w:rsid w:val="00F81BCD"/>
    <w:rsid w:val="00F8274D"/>
    <w:rsid w:val="00F82A44"/>
    <w:rsid w:val="00F95332"/>
    <w:rsid w:val="00FA10F9"/>
    <w:rsid w:val="00FD5913"/>
    <w:rsid w:val="00FD5957"/>
    <w:rsid w:val="00FF2347"/>
    <w:rsid w:val="00FF3031"/>
    <w:rsid w:val="00FF5AB5"/>
    <w:rsid w:val="00FF6073"/>
    <w:rsid w:val="1ADC0670"/>
    <w:rsid w:val="2035624B"/>
    <w:rsid w:val="20B41493"/>
    <w:rsid w:val="21FC108C"/>
    <w:rsid w:val="25DD5E31"/>
    <w:rsid w:val="30E30616"/>
    <w:rsid w:val="365E05F2"/>
    <w:rsid w:val="39C5686D"/>
    <w:rsid w:val="39D732A3"/>
    <w:rsid w:val="4824126F"/>
    <w:rsid w:val="4B9E5404"/>
    <w:rsid w:val="4C8D4010"/>
    <w:rsid w:val="4D7B219B"/>
    <w:rsid w:val="4DB34B13"/>
    <w:rsid w:val="59922323"/>
    <w:rsid w:val="728752B8"/>
    <w:rsid w:val="74233661"/>
    <w:rsid w:val="7CE80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E68A9"/>
  <w15:docId w15:val="{BD10C85F-6FBE-4AAA-9910-8623CFAB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lsdException w:name="Normal Indent" w:uiPriority="0" w:qFormat="1"/>
    <w:lsdException w:name="footnote text" w:uiPriority="0" w:unhideWhenUsed="1"/>
    <w:lsdException w:name="annotation text" w:uiPriority="0"/>
    <w:lsdException w:name="header" w:uiPriority="0" w:unhideWhenUsed="1" w:qFormat="1"/>
    <w:lsdException w:name="footer" w:unhideWhenUsed="1" w:qFormat="1"/>
    <w:lsdException w:name="index heading" w:semiHidden="1" w:unhideWhenUsed="1"/>
    <w:lsdException w:name="caption" w:uiPriority="0" w:unhideWhenUsed="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iPriority="0"/>
    <w:lsdException w:name="line number" w:semiHidden="1" w:unhideWhenUsed="1"/>
    <w:lsdException w:name="page number" w:semiHidden="1" w:unhideWhenUsed="1"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qFormat="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unhideWhenUsed="1" w:qFormat="1"/>
    <w:lsdException w:name="Strong" w:uiPriority="0"/>
    <w:lsdException w:name="Emphasis" w:uiPriority="20"/>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spacing w:line="588" w:lineRule="exact"/>
      <w:ind w:firstLineChars="200" w:firstLine="600"/>
      <w:jc w:val="both"/>
    </w:pPr>
    <w:rPr>
      <w:rFonts w:ascii="Times New Roman" w:eastAsia="方正仿宋_GBK" w:hAnsi="Times New Roman" w:cs="宋体"/>
      <w:kern w:val="2"/>
      <w:sz w:val="30"/>
      <w:szCs w:val="28"/>
    </w:rPr>
  </w:style>
  <w:style w:type="paragraph" w:styleId="1">
    <w:name w:val="heading 1"/>
    <w:basedOn w:val="a0"/>
    <w:next w:val="a0"/>
    <w:link w:val="11"/>
    <w:qFormat/>
    <w:pPr>
      <w:spacing w:line="360" w:lineRule="auto"/>
      <w:ind w:firstLineChars="0" w:firstLine="0"/>
      <w:jc w:val="center"/>
      <w:outlineLvl w:val="0"/>
    </w:pPr>
    <w:rPr>
      <w:rFonts w:ascii="黑体" w:eastAsia="黑体" w:hAnsi="黑体" w:cs="方正小标宋_GBK"/>
      <w:color w:val="000000"/>
      <w:sz w:val="44"/>
      <w:szCs w:val="44"/>
    </w:rPr>
  </w:style>
  <w:style w:type="paragraph" w:styleId="2">
    <w:name w:val="heading 2"/>
    <w:basedOn w:val="a0"/>
    <w:next w:val="a0"/>
    <w:link w:val="20"/>
    <w:unhideWhenUsed/>
    <w:qFormat/>
    <w:pPr>
      <w:keepNext/>
      <w:keepLines/>
      <w:adjustRightInd w:val="0"/>
      <w:spacing w:before="240" w:after="240" w:line="480" w:lineRule="exact"/>
      <w:ind w:firstLine="200"/>
      <w:outlineLvl w:val="1"/>
    </w:pPr>
    <w:rPr>
      <w:rFonts w:eastAsia="黑体" w:cs="黑体"/>
      <w:color w:val="000000"/>
      <w:kern w:val="0"/>
      <w:sz w:val="24"/>
      <w:szCs w:val="24"/>
      <w:lang w:val="zh-CN"/>
    </w:rPr>
  </w:style>
  <w:style w:type="paragraph" w:styleId="3">
    <w:name w:val="heading 3"/>
    <w:basedOn w:val="a0"/>
    <w:next w:val="a0"/>
    <w:link w:val="30"/>
    <w:unhideWhenUsed/>
    <w:qFormat/>
    <w:pPr>
      <w:keepNext/>
      <w:spacing w:beforeLines="80" w:before="80" w:afterLines="100" w:after="100" w:line="240" w:lineRule="auto"/>
      <w:ind w:firstLine="200"/>
      <w:outlineLvl w:val="2"/>
    </w:pPr>
    <w:rPr>
      <w:rFonts w:eastAsia="楷体_GB2312"/>
      <w:color w:val="000000"/>
      <w:kern w:val="0"/>
      <w:sz w:val="24"/>
      <w:szCs w:val="24"/>
      <w:lang w:val="zh-CN"/>
    </w:rPr>
  </w:style>
  <w:style w:type="paragraph" w:styleId="4">
    <w:name w:val="heading 4"/>
    <w:basedOn w:val="a0"/>
    <w:next w:val="a0"/>
    <w:link w:val="41"/>
    <w:qFormat/>
    <w:pPr>
      <w:adjustRightInd w:val="0"/>
      <w:spacing w:line="360" w:lineRule="auto"/>
      <w:ind w:firstLine="480"/>
      <w:outlineLvl w:val="3"/>
    </w:pPr>
    <w:rPr>
      <w:rFonts w:ascii="楷体" w:eastAsia="楷体" w:hAnsi="楷体" w:cs="方正仿宋_GBK"/>
      <w:sz w:val="24"/>
      <w:szCs w:val="24"/>
    </w:rPr>
  </w:style>
  <w:style w:type="paragraph" w:styleId="5">
    <w:name w:val="heading 5"/>
    <w:basedOn w:val="a0"/>
    <w:next w:val="a0"/>
    <w:link w:val="50"/>
    <w:pPr>
      <w:keepNext/>
      <w:keepLines/>
      <w:numPr>
        <w:ilvl w:val="4"/>
        <w:numId w:val="1"/>
      </w:numPr>
      <w:adjustRightInd w:val="0"/>
      <w:spacing w:beforeLines="50" w:before="50" w:afterLines="50" w:after="50" w:line="560" w:lineRule="exact"/>
      <w:ind w:firstLineChars="0" w:firstLine="0"/>
      <w:jc w:val="left"/>
      <w:textAlignment w:val="baseline"/>
      <w:outlineLvl w:val="4"/>
    </w:pPr>
    <w:rPr>
      <w:rFonts w:ascii="仿宋_GB2312" w:eastAsia="仿宋_GB2312" w:cs="Times New Roman"/>
      <w:bCs/>
      <w:kern w:val="0"/>
      <w:sz w:val="32"/>
    </w:rPr>
  </w:style>
  <w:style w:type="paragraph" w:styleId="6">
    <w:name w:val="heading 6"/>
    <w:basedOn w:val="a0"/>
    <w:next w:val="a0"/>
    <w:link w:val="60"/>
    <w:semiHidden/>
    <w:unhideWhenUsed/>
    <w:pPr>
      <w:keepNext/>
      <w:spacing w:beforeLines="100" w:afterLines="100" w:line="240" w:lineRule="auto"/>
      <w:ind w:firstLineChars="0" w:firstLine="0"/>
      <w:jc w:val="center"/>
      <w:outlineLvl w:val="5"/>
    </w:pPr>
    <w:rPr>
      <w:rFonts w:ascii="Calibri" w:eastAsia="黑体" w:hAnsi="Calibri" w:cs="Times New Roman"/>
      <w:b/>
      <w:bCs/>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ind w:firstLine="420"/>
    </w:pPr>
  </w:style>
  <w:style w:type="paragraph" w:styleId="TOC7">
    <w:name w:val="toc 7"/>
    <w:basedOn w:val="a0"/>
    <w:next w:val="a0"/>
    <w:uiPriority w:val="39"/>
    <w:unhideWhenUsed/>
    <w:qFormat/>
    <w:pPr>
      <w:spacing w:line="240" w:lineRule="auto"/>
      <w:ind w:leftChars="1200" w:left="2520" w:firstLineChars="0" w:firstLine="0"/>
    </w:pPr>
    <w:rPr>
      <w:rFonts w:asciiTheme="minorHAnsi" w:eastAsiaTheme="minorEastAsia" w:hAnsiTheme="minorHAnsi" w:cstheme="minorBidi"/>
      <w:sz w:val="21"/>
      <w:szCs w:val="22"/>
    </w:rPr>
  </w:style>
  <w:style w:type="paragraph" w:styleId="a5">
    <w:name w:val="caption"/>
    <w:basedOn w:val="a0"/>
    <w:next w:val="a0"/>
    <w:unhideWhenUsed/>
    <w:pPr>
      <w:spacing w:line="240" w:lineRule="auto"/>
      <w:ind w:firstLineChars="0" w:firstLine="0"/>
    </w:pPr>
    <w:rPr>
      <w:rFonts w:ascii="Arial" w:eastAsia="黑体" w:hAnsi="Arial" w:cs="Arial"/>
      <w:sz w:val="20"/>
      <w:szCs w:val="20"/>
    </w:rPr>
  </w:style>
  <w:style w:type="paragraph" w:styleId="a6">
    <w:name w:val="Document Map"/>
    <w:basedOn w:val="a0"/>
    <w:link w:val="a7"/>
    <w:uiPriority w:val="99"/>
    <w:unhideWhenUsed/>
    <w:qFormat/>
    <w:pPr>
      <w:spacing w:line="240" w:lineRule="auto"/>
      <w:ind w:firstLineChars="0" w:firstLine="0"/>
    </w:pPr>
    <w:rPr>
      <w:rFonts w:ascii="宋体" w:eastAsia="宋体" w:cs="Times New Roman"/>
      <w:sz w:val="18"/>
      <w:szCs w:val="18"/>
    </w:rPr>
  </w:style>
  <w:style w:type="paragraph" w:styleId="a8">
    <w:name w:val="annotation text"/>
    <w:basedOn w:val="a0"/>
    <w:link w:val="10"/>
    <w:pPr>
      <w:adjustRightInd w:val="0"/>
      <w:spacing w:line="560" w:lineRule="exact"/>
      <w:ind w:firstLineChars="0" w:firstLine="0"/>
      <w:jc w:val="left"/>
      <w:textAlignment w:val="baseline"/>
    </w:pPr>
    <w:rPr>
      <w:rFonts w:ascii="仿宋_GB2312" w:eastAsia="仿宋_GB2312" w:cs="Times New Roman"/>
      <w:kern w:val="0"/>
      <w:sz w:val="32"/>
      <w:szCs w:val="32"/>
    </w:rPr>
  </w:style>
  <w:style w:type="paragraph" w:styleId="a9">
    <w:name w:val="Body Text"/>
    <w:basedOn w:val="a0"/>
    <w:link w:val="aa"/>
    <w:qFormat/>
    <w:pPr>
      <w:spacing w:after="120" w:line="240" w:lineRule="auto"/>
    </w:pPr>
    <w:rPr>
      <w:rFonts w:eastAsia="宋体" w:cs="Times New Roman"/>
      <w:sz w:val="24"/>
      <w:szCs w:val="24"/>
    </w:rPr>
  </w:style>
  <w:style w:type="paragraph" w:styleId="ab">
    <w:name w:val="Body Text Indent"/>
    <w:basedOn w:val="a0"/>
    <w:link w:val="ac"/>
    <w:qFormat/>
    <w:pPr>
      <w:adjustRightInd w:val="0"/>
      <w:spacing w:line="360" w:lineRule="auto"/>
      <w:ind w:firstLineChars="0" w:firstLine="555"/>
      <w:jc w:val="left"/>
      <w:textAlignment w:val="baseline"/>
    </w:pPr>
    <w:rPr>
      <w:rFonts w:ascii="楷体_GB2312" w:eastAsia="楷体_GB2312" w:cs="Times New Roman"/>
      <w:kern w:val="0"/>
      <w:sz w:val="28"/>
      <w:szCs w:val="20"/>
    </w:rPr>
  </w:style>
  <w:style w:type="paragraph" w:styleId="TOC5">
    <w:name w:val="toc 5"/>
    <w:basedOn w:val="a0"/>
    <w:next w:val="a0"/>
    <w:uiPriority w:val="39"/>
    <w:unhideWhenUsed/>
    <w:qFormat/>
    <w:pPr>
      <w:spacing w:line="240" w:lineRule="auto"/>
      <w:ind w:leftChars="800" w:left="1680" w:firstLineChars="0" w:firstLine="0"/>
    </w:pPr>
    <w:rPr>
      <w:rFonts w:asciiTheme="minorHAnsi" w:eastAsiaTheme="minorEastAsia" w:hAnsiTheme="minorHAnsi" w:cstheme="minorBidi"/>
      <w:sz w:val="21"/>
      <w:szCs w:val="22"/>
    </w:rPr>
  </w:style>
  <w:style w:type="paragraph" w:styleId="TOC3">
    <w:name w:val="toc 3"/>
    <w:basedOn w:val="a0"/>
    <w:next w:val="a0"/>
    <w:uiPriority w:val="39"/>
    <w:pPr>
      <w:adjustRightInd w:val="0"/>
      <w:spacing w:line="560" w:lineRule="exact"/>
      <w:ind w:leftChars="400" w:left="840" w:firstLineChars="0" w:firstLine="0"/>
      <w:jc w:val="left"/>
      <w:textAlignment w:val="baseline"/>
    </w:pPr>
    <w:rPr>
      <w:rFonts w:ascii="仿宋_GB2312" w:eastAsia="仿宋_GB2312" w:cs="Times New Roman"/>
      <w:kern w:val="0"/>
      <w:sz w:val="32"/>
      <w:szCs w:val="32"/>
    </w:rPr>
  </w:style>
  <w:style w:type="paragraph" w:styleId="ad">
    <w:name w:val="Plain Text"/>
    <w:basedOn w:val="a0"/>
    <w:link w:val="ae"/>
    <w:qFormat/>
    <w:pPr>
      <w:spacing w:line="240" w:lineRule="auto"/>
      <w:ind w:firstLineChars="0" w:firstLine="0"/>
      <w:jc w:val="center"/>
    </w:pPr>
    <w:rPr>
      <w:rFonts w:ascii="宋体" w:eastAsia="宋体" w:hAnsi="Courier New" w:cs="Courier New"/>
      <w:sz w:val="21"/>
      <w:szCs w:val="21"/>
    </w:rPr>
  </w:style>
  <w:style w:type="paragraph" w:styleId="TOC8">
    <w:name w:val="toc 8"/>
    <w:basedOn w:val="a0"/>
    <w:next w:val="a0"/>
    <w:uiPriority w:val="39"/>
    <w:unhideWhenUsed/>
    <w:qFormat/>
    <w:pPr>
      <w:spacing w:line="240" w:lineRule="auto"/>
      <w:ind w:leftChars="1400" w:left="2940" w:firstLineChars="0" w:firstLine="0"/>
    </w:pPr>
    <w:rPr>
      <w:rFonts w:asciiTheme="minorHAnsi" w:eastAsiaTheme="minorEastAsia" w:hAnsiTheme="minorHAnsi" w:cstheme="minorBidi"/>
      <w:sz w:val="21"/>
      <w:szCs w:val="22"/>
    </w:rPr>
  </w:style>
  <w:style w:type="paragraph" w:styleId="af">
    <w:name w:val="Date"/>
    <w:basedOn w:val="a0"/>
    <w:next w:val="a0"/>
    <w:link w:val="af0"/>
    <w:uiPriority w:val="99"/>
    <w:semiHidden/>
    <w:unhideWhenUsed/>
    <w:qFormat/>
    <w:pPr>
      <w:spacing w:line="240" w:lineRule="auto"/>
      <w:ind w:leftChars="2500" w:left="100" w:firstLineChars="0" w:firstLine="0"/>
    </w:pPr>
    <w:rPr>
      <w:rFonts w:asciiTheme="minorHAnsi" w:eastAsiaTheme="minorEastAsia" w:hAnsiTheme="minorHAnsi" w:cstheme="minorBidi"/>
      <w:sz w:val="21"/>
      <w:szCs w:val="22"/>
    </w:rPr>
  </w:style>
  <w:style w:type="paragraph" w:styleId="af1">
    <w:name w:val="endnote text"/>
    <w:basedOn w:val="a0"/>
    <w:link w:val="12"/>
    <w:uiPriority w:val="99"/>
    <w:unhideWhenUsed/>
    <w:qFormat/>
    <w:pPr>
      <w:snapToGrid w:val="0"/>
      <w:spacing w:line="240" w:lineRule="auto"/>
      <w:ind w:firstLineChars="0" w:firstLine="0"/>
      <w:jc w:val="left"/>
    </w:pPr>
    <w:rPr>
      <w:rFonts w:ascii="Calibri" w:eastAsia="宋体" w:hAnsi="Calibri" w:cs="Times New Roman"/>
      <w:sz w:val="21"/>
      <w:szCs w:val="24"/>
    </w:rPr>
  </w:style>
  <w:style w:type="paragraph" w:styleId="af2">
    <w:name w:val="Balloon Text"/>
    <w:basedOn w:val="a0"/>
    <w:link w:val="af3"/>
    <w:uiPriority w:val="99"/>
    <w:unhideWhenUsed/>
    <w:qFormat/>
    <w:pPr>
      <w:spacing w:line="240" w:lineRule="auto"/>
      <w:ind w:firstLine="200"/>
    </w:pPr>
    <w:rPr>
      <w:rFonts w:eastAsia="宋体" w:cs="Times New Roman"/>
      <w:sz w:val="18"/>
      <w:szCs w:val="18"/>
    </w:rPr>
  </w:style>
  <w:style w:type="paragraph" w:styleId="af4">
    <w:name w:val="footer"/>
    <w:basedOn w:val="a0"/>
    <w:link w:val="21"/>
    <w:uiPriority w:val="99"/>
    <w:unhideWhenUsed/>
    <w:qFormat/>
    <w:pPr>
      <w:tabs>
        <w:tab w:val="center" w:pos="4153"/>
        <w:tab w:val="right" w:pos="8306"/>
      </w:tabs>
      <w:snapToGrid w:val="0"/>
      <w:spacing w:line="240" w:lineRule="atLeast"/>
      <w:jc w:val="left"/>
    </w:pPr>
    <w:rPr>
      <w:sz w:val="18"/>
      <w:szCs w:val="18"/>
    </w:rPr>
  </w:style>
  <w:style w:type="paragraph" w:styleId="af5">
    <w:name w:val="header"/>
    <w:basedOn w:val="a0"/>
    <w:link w:val="13"/>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0"/>
    <w:next w:val="a0"/>
    <w:uiPriority w:val="39"/>
    <w:qFormat/>
    <w:pPr>
      <w:adjustRightInd w:val="0"/>
      <w:spacing w:line="500" w:lineRule="exact"/>
      <w:ind w:firstLineChars="0" w:firstLine="0"/>
      <w:jc w:val="left"/>
      <w:textAlignment w:val="baseline"/>
    </w:pPr>
    <w:rPr>
      <w:rFonts w:eastAsia="宋体" w:cs="Times New Roman"/>
      <w:b/>
      <w:kern w:val="0"/>
      <w:sz w:val="24"/>
      <w:szCs w:val="32"/>
    </w:rPr>
  </w:style>
  <w:style w:type="paragraph" w:styleId="TOC4">
    <w:name w:val="toc 4"/>
    <w:basedOn w:val="a0"/>
    <w:next w:val="a0"/>
    <w:uiPriority w:val="39"/>
    <w:unhideWhenUsed/>
    <w:pPr>
      <w:spacing w:line="240" w:lineRule="auto"/>
      <w:ind w:leftChars="600" w:left="1260" w:firstLineChars="0" w:firstLine="0"/>
    </w:pPr>
    <w:rPr>
      <w:rFonts w:asciiTheme="minorHAnsi" w:eastAsiaTheme="minorEastAsia" w:hAnsiTheme="minorHAnsi" w:cstheme="minorBidi"/>
      <w:sz w:val="21"/>
      <w:szCs w:val="22"/>
    </w:rPr>
  </w:style>
  <w:style w:type="paragraph" w:styleId="af6">
    <w:name w:val="Subtitle"/>
    <w:basedOn w:val="a0"/>
    <w:link w:val="af7"/>
    <w:pPr>
      <w:snapToGrid w:val="0"/>
      <w:spacing w:beforeLines="50" w:before="156" w:afterLines="50" w:after="156" w:line="240" w:lineRule="auto"/>
      <w:ind w:firstLineChars="0" w:firstLine="0"/>
      <w:jc w:val="center"/>
    </w:pPr>
    <w:rPr>
      <w:rFonts w:eastAsia="黑体" w:cs="Times New Roman"/>
      <w:sz w:val="36"/>
      <w:szCs w:val="36"/>
    </w:rPr>
  </w:style>
  <w:style w:type="paragraph" w:styleId="af8">
    <w:name w:val="footnote text"/>
    <w:basedOn w:val="a0"/>
    <w:link w:val="22"/>
    <w:unhideWhenUsed/>
    <w:pPr>
      <w:snapToGrid w:val="0"/>
      <w:spacing w:line="240" w:lineRule="auto"/>
      <w:ind w:firstLineChars="0" w:firstLine="0"/>
      <w:jc w:val="left"/>
    </w:pPr>
    <w:rPr>
      <w:rFonts w:ascii="Calibri" w:eastAsia="宋体" w:hAnsi="Calibri" w:cs="Times New Roman"/>
      <w:sz w:val="18"/>
      <w:szCs w:val="24"/>
    </w:rPr>
  </w:style>
  <w:style w:type="paragraph" w:styleId="TOC6">
    <w:name w:val="toc 6"/>
    <w:basedOn w:val="a0"/>
    <w:next w:val="a0"/>
    <w:uiPriority w:val="39"/>
    <w:unhideWhenUsed/>
    <w:qFormat/>
    <w:pPr>
      <w:spacing w:line="240" w:lineRule="auto"/>
      <w:ind w:leftChars="1000" w:left="2100" w:firstLineChars="0" w:firstLine="0"/>
    </w:pPr>
    <w:rPr>
      <w:rFonts w:asciiTheme="minorHAnsi" w:eastAsiaTheme="minorEastAsia" w:hAnsiTheme="minorHAnsi" w:cstheme="minorBidi"/>
      <w:sz w:val="21"/>
      <w:szCs w:val="22"/>
    </w:rPr>
  </w:style>
  <w:style w:type="paragraph" w:styleId="TOC2">
    <w:name w:val="toc 2"/>
    <w:basedOn w:val="a0"/>
    <w:next w:val="a0"/>
    <w:link w:val="TOC20"/>
    <w:uiPriority w:val="39"/>
    <w:qFormat/>
    <w:pPr>
      <w:spacing w:line="500" w:lineRule="exact"/>
      <w:ind w:leftChars="200" w:left="200" w:firstLineChars="0" w:firstLine="0"/>
      <w:jc w:val="left"/>
    </w:pPr>
    <w:rPr>
      <w:rFonts w:eastAsia="宋体" w:cs="Times New Roman"/>
      <w:smallCaps/>
      <w:kern w:val="0"/>
      <w:sz w:val="24"/>
      <w:szCs w:val="24"/>
    </w:rPr>
  </w:style>
  <w:style w:type="paragraph" w:styleId="TOC9">
    <w:name w:val="toc 9"/>
    <w:basedOn w:val="a0"/>
    <w:next w:val="a0"/>
    <w:uiPriority w:val="39"/>
    <w:unhideWhenUsed/>
    <w:pPr>
      <w:spacing w:line="240" w:lineRule="auto"/>
      <w:ind w:leftChars="1600" w:left="3360" w:firstLineChars="0" w:firstLine="0"/>
    </w:pPr>
    <w:rPr>
      <w:rFonts w:asciiTheme="minorHAnsi" w:eastAsiaTheme="minorEastAsia" w:hAnsiTheme="minorHAnsi" w:cstheme="minorBidi"/>
      <w:sz w:val="21"/>
      <w:szCs w:val="22"/>
    </w:rPr>
  </w:style>
  <w:style w:type="paragraph" w:styleId="af9">
    <w:name w:val="Normal (Web)"/>
    <w:basedOn w:val="a0"/>
    <w:uiPriority w:val="99"/>
    <w:qFormat/>
    <w:pPr>
      <w:spacing w:after="150" w:line="240" w:lineRule="auto"/>
      <w:ind w:firstLineChars="0" w:firstLine="0"/>
      <w:jc w:val="left"/>
    </w:pPr>
    <w:rPr>
      <w:rFonts w:ascii="Calibri" w:eastAsia="宋体" w:hAnsi="Calibri" w:cs="Times New Roman"/>
      <w:kern w:val="0"/>
      <w:sz w:val="24"/>
      <w:szCs w:val="24"/>
    </w:rPr>
  </w:style>
  <w:style w:type="paragraph" w:styleId="afa">
    <w:name w:val="Title"/>
    <w:basedOn w:val="a0"/>
    <w:next w:val="a0"/>
    <w:link w:val="afb"/>
    <w:uiPriority w:val="10"/>
    <w:pPr>
      <w:spacing w:before="240" w:after="60" w:line="720" w:lineRule="auto"/>
      <w:ind w:firstLine="200"/>
      <w:jc w:val="center"/>
      <w:outlineLvl w:val="0"/>
    </w:pPr>
    <w:rPr>
      <w:rFonts w:asciiTheme="majorHAnsi" w:eastAsia="黑体" w:hAnsiTheme="majorHAnsi" w:cstheme="majorBidi"/>
      <w:b/>
      <w:bCs/>
      <w:sz w:val="32"/>
      <w:szCs w:val="32"/>
    </w:rPr>
  </w:style>
  <w:style w:type="paragraph" w:styleId="afc">
    <w:name w:val="annotation subject"/>
    <w:basedOn w:val="a8"/>
    <w:next w:val="a8"/>
    <w:link w:val="afd"/>
    <w:uiPriority w:val="99"/>
    <w:unhideWhenUsed/>
    <w:pPr>
      <w:adjustRightInd/>
      <w:spacing w:line="240" w:lineRule="auto"/>
      <w:textAlignment w:val="auto"/>
    </w:pPr>
    <w:rPr>
      <w:rFonts w:ascii="Calibri" w:eastAsia="宋体" w:hAnsi="Calibri"/>
      <w:b/>
      <w:bCs/>
      <w:kern w:val="2"/>
      <w:sz w:val="21"/>
      <w:szCs w:val="22"/>
    </w:rPr>
  </w:style>
  <w:style w:type="paragraph" w:styleId="23">
    <w:name w:val="Body Text First Indent 2"/>
    <w:basedOn w:val="ab"/>
    <w:link w:val="24"/>
    <w:pPr>
      <w:adjustRightInd/>
      <w:spacing w:after="120" w:line="240" w:lineRule="auto"/>
      <w:ind w:leftChars="200" w:left="420" w:firstLineChars="200" w:firstLine="420"/>
      <w:jc w:val="both"/>
      <w:textAlignment w:val="auto"/>
    </w:pPr>
    <w:rPr>
      <w:rFonts w:ascii="Calibri" w:eastAsia="宋体" w:hAnsi="Calibri"/>
      <w:kern w:val="2"/>
      <w:sz w:val="21"/>
      <w:szCs w:val="24"/>
    </w:rPr>
  </w:style>
  <w:style w:type="table" w:styleId="afe">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2"/>
    <w:rPr>
      <w:b/>
      <w:bCs/>
    </w:rPr>
  </w:style>
  <w:style w:type="character" w:styleId="aff0">
    <w:name w:val="endnote reference"/>
    <w:basedOn w:val="a2"/>
    <w:uiPriority w:val="99"/>
    <w:unhideWhenUsed/>
    <w:qFormat/>
    <w:rPr>
      <w:vertAlign w:val="superscript"/>
    </w:rPr>
  </w:style>
  <w:style w:type="character" w:styleId="aff1">
    <w:name w:val="FollowedHyperlink"/>
    <w:basedOn w:val="a2"/>
    <w:unhideWhenUsed/>
    <w:qFormat/>
    <w:rPr>
      <w:color w:val="337AB7"/>
      <w:u w:val="none"/>
    </w:rPr>
  </w:style>
  <w:style w:type="character" w:styleId="aff2">
    <w:name w:val="Emphasis"/>
    <w:basedOn w:val="a2"/>
    <w:uiPriority w:val="20"/>
  </w:style>
  <w:style w:type="character" w:styleId="HTML">
    <w:name w:val="HTML Variable"/>
    <w:basedOn w:val="a2"/>
    <w:uiPriority w:val="99"/>
    <w:semiHidden/>
    <w:unhideWhenUsed/>
    <w:qFormat/>
  </w:style>
  <w:style w:type="character" w:styleId="aff3">
    <w:name w:val="Hyperlink"/>
    <w:basedOn w:val="a2"/>
    <w:uiPriority w:val="99"/>
    <w:unhideWhenUsed/>
    <w:qFormat/>
    <w:rPr>
      <w:color w:val="337AB7"/>
      <w:u w:val="none"/>
    </w:rPr>
  </w:style>
  <w:style w:type="character" w:styleId="HTML0">
    <w:name w:val="HTML Code"/>
    <w:basedOn w:val="a2"/>
    <w:uiPriority w:val="99"/>
    <w:semiHidden/>
    <w:unhideWhenUsed/>
    <w:qFormat/>
    <w:rPr>
      <w:rFonts w:ascii="Consolas" w:eastAsia="Consolas" w:hAnsi="Consolas" w:cs="Consolas" w:hint="default"/>
      <w:color w:val="C7254E"/>
      <w:sz w:val="21"/>
      <w:szCs w:val="21"/>
      <w:shd w:val="clear" w:color="auto" w:fill="F9F2F4"/>
    </w:rPr>
  </w:style>
  <w:style w:type="character" w:styleId="aff4">
    <w:name w:val="annotation reference"/>
    <w:basedOn w:val="a2"/>
    <w:rPr>
      <w:sz w:val="21"/>
      <w:szCs w:val="21"/>
    </w:rPr>
  </w:style>
  <w:style w:type="character" w:styleId="HTML1">
    <w:name w:val="HTML Cite"/>
    <w:basedOn w:val="a2"/>
    <w:uiPriority w:val="99"/>
    <w:semiHidden/>
    <w:unhideWhenUsed/>
    <w:qFormat/>
  </w:style>
  <w:style w:type="character" w:styleId="aff5">
    <w:name w:val="footnote reference"/>
    <w:basedOn w:val="a2"/>
    <w:unhideWhenUsed/>
    <w:rPr>
      <w:vertAlign w:val="superscript"/>
    </w:rPr>
  </w:style>
  <w:style w:type="character" w:styleId="HTML2">
    <w:name w:val="HTML Keyboard"/>
    <w:basedOn w:val="a2"/>
    <w:uiPriority w:val="99"/>
    <w:semiHidden/>
    <w:unhideWhenUsed/>
    <w:qFormat/>
    <w:rPr>
      <w:rFonts w:ascii="Consolas" w:eastAsia="Consolas" w:hAnsi="Consolas" w:cs="Consolas"/>
      <w:color w:val="FFFFFF"/>
      <w:sz w:val="21"/>
      <w:szCs w:val="21"/>
      <w:shd w:val="clear" w:color="auto" w:fill="333333"/>
    </w:rPr>
  </w:style>
  <w:style w:type="character" w:styleId="HTML3">
    <w:name w:val="HTML Sample"/>
    <w:basedOn w:val="a2"/>
    <w:uiPriority w:val="99"/>
    <w:semiHidden/>
    <w:unhideWhenUsed/>
    <w:qFormat/>
    <w:rPr>
      <w:rFonts w:ascii="Consolas" w:eastAsia="Consolas" w:hAnsi="Consolas" w:cs="Consolas" w:hint="default"/>
      <w:sz w:val="21"/>
      <w:szCs w:val="21"/>
    </w:rPr>
  </w:style>
  <w:style w:type="paragraph" w:customStyle="1" w:styleId="aff6">
    <w:name w:val="文档正文"/>
    <w:basedOn w:val="a0"/>
    <w:pPr>
      <w:adjustRightInd w:val="0"/>
      <w:spacing w:line="560" w:lineRule="exact"/>
      <w:ind w:firstLine="640"/>
      <w:jc w:val="left"/>
      <w:textAlignment w:val="baseline"/>
    </w:pPr>
    <w:rPr>
      <w:rFonts w:ascii="仿宋_GB2312" w:eastAsia="仿宋_GB2312" w:cs="Times New Roman"/>
      <w:kern w:val="0"/>
      <w:sz w:val="32"/>
      <w:szCs w:val="32"/>
    </w:rPr>
  </w:style>
  <w:style w:type="character" w:customStyle="1" w:styleId="af7">
    <w:name w:val="副标题 字符"/>
    <w:basedOn w:val="a2"/>
    <w:link w:val="af6"/>
    <w:rPr>
      <w:rFonts w:ascii="Times New Roman" w:eastAsia="黑体" w:hAnsi="Times New Roman" w:cs="Times New Roman"/>
      <w:sz w:val="36"/>
      <w:szCs w:val="36"/>
    </w:rPr>
  </w:style>
  <w:style w:type="character" w:customStyle="1" w:styleId="11">
    <w:name w:val="标题 1 字符1"/>
    <w:basedOn w:val="a2"/>
    <w:link w:val="1"/>
    <w:qFormat/>
    <w:rPr>
      <w:rFonts w:ascii="黑体" w:eastAsia="黑体" w:hAnsi="黑体" w:cs="方正小标宋_GBK"/>
      <w:color w:val="000000"/>
      <w:kern w:val="2"/>
      <w:sz w:val="44"/>
      <w:szCs w:val="44"/>
    </w:rPr>
  </w:style>
  <w:style w:type="character" w:customStyle="1" w:styleId="20">
    <w:name w:val="标题 2 字符"/>
    <w:basedOn w:val="a2"/>
    <w:link w:val="2"/>
    <w:qFormat/>
    <w:rPr>
      <w:rFonts w:ascii="Times New Roman" w:eastAsia="黑体" w:hAnsi="Times New Roman" w:cs="黑体"/>
      <w:color w:val="000000"/>
      <w:sz w:val="24"/>
      <w:szCs w:val="24"/>
      <w:lang w:val="zh-CN"/>
    </w:rPr>
  </w:style>
  <w:style w:type="character" w:customStyle="1" w:styleId="30">
    <w:name w:val="标题 3 字符"/>
    <w:basedOn w:val="a2"/>
    <w:link w:val="3"/>
    <w:qFormat/>
    <w:rPr>
      <w:rFonts w:ascii="Times New Roman" w:eastAsia="楷体_GB2312" w:hAnsi="Times New Roman" w:cs="宋体"/>
      <w:color w:val="000000"/>
      <w:sz w:val="24"/>
      <w:szCs w:val="24"/>
      <w:lang w:val="zh-CN"/>
    </w:rPr>
  </w:style>
  <w:style w:type="character" w:customStyle="1" w:styleId="41">
    <w:name w:val="标题 4 字符1"/>
    <w:basedOn w:val="a2"/>
    <w:link w:val="4"/>
    <w:qFormat/>
    <w:rPr>
      <w:rFonts w:ascii="楷体" w:eastAsia="楷体" w:hAnsi="楷体" w:cs="方正仿宋_GBK"/>
      <w:kern w:val="2"/>
      <w:sz w:val="24"/>
      <w:szCs w:val="24"/>
    </w:rPr>
  </w:style>
  <w:style w:type="character" w:customStyle="1" w:styleId="50">
    <w:name w:val="标题 5 字符"/>
    <w:basedOn w:val="a2"/>
    <w:link w:val="5"/>
    <w:qFormat/>
    <w:rPr>
      <w:rFonts w:ascii="仿宋_GB2312" w:eastAsia="仿宋_GB2312" w:hAnsi="Times New Roman" w:cs="Times New Roman"/>
      <w:bCs/>
      <w:kern w:val="0"/>
      <w:sz w:val="32"/>
      <w:szCs w:val="28"/>
    </w:rPr>
  </w:style>
  <w:style w:type="character" w:customStyle="1" w:styleId="60">
    <w:name w:val="标题 6 字符"/>
    <w:basedOn w:val="a2"/>
    <w:link w:val="6"/>
    <w:semiHidden/>
    <w:rPr>
      <w:rFonts w:ascii="Calibri" w:eastAsia="黑体" w:hAnsi="Calibri" w:cs="Times New Roman"/>
      <w:b/>
      <w:bCs/>
      <w:szCs w:val="24"/>
    </w:rPr>
  </w:style>
  <w:style w:type="character" w:customStyle="1" w:styleId="13">
    <w:name w:val="页眉 字符1"/>
    <w:basedOn w:val="a2"/>
    <w:link w:val="af5"/>
    <w:qFormat/>
    <w:rPr>
      <w:rFonts w:ascii="Times New Roman" w:eastAsia="方正仿宋_GBK" w:hAnsi="Times New Roman" w:cs="宋体"/>
      <w:sz w:val="18"/>
      <w:szCs w:val="18"/>
    </w:rPr>
  </w:style>
  <w:style w:type="character" w:customStyle="1" w:styleId="21">
    <w:name w:val="页脚 字符2"/>
    <w:basedOn w:val="a2"/>
    <w:link w:val="af4"/>
    <w:uiPriority w:val="99"/>
    <w:qFormat/>
    <w:rPr>
      <w:rFonts w:ascii="Times New Roman" w:eastAsia="方正仿宋_GBK" w:hAnsi="Times New Roman" w:cs="宋体"/>
      <w:sz w:val="18"/>
      <w:szCs w:val="18"/>
    </w:rPr>
  </w:style>
  <w:style w:type="character" w:customStyle="1" w:styleId="10">
    <w:name w:val="批注文字 字符1"/>
    <w:basedOn w:val="a2"/>
    <w:link w:val="a8"/>
    <w:qFormat/>
    <w:rPr>
      <w:rFonts w:ascii="仿宋_GB2312" w:eastAsia="仿宋_GB2312" w:hAnsi="Times New Roman" w:cs="Times New Roman"/>
      <w:kern w:val="0"/>
      <w:sz w:val="32"/>
      <w:szCs w:val="32"/>
    </w:rPr>
  </w:style>
  <w:style w:type="character" w:customStyle="1" w:styleId="ac">
    <w:name w:val="正文文本缩进 字符"/>
    <w:basedOn w:val="a2"/>
    <w:link w:val="ab"/>
    <w:qFormat/>
    <w:rPr>
      <w:rFonts w:ascii="楷体_GB2312" w:eastAsia="楷体_GB2312" w:hAnsi="Times New Roman" w:cs="Times New Roman"/>
      <w:kern w:val="0"/>
      <w:sz w:val="28"/>
      <w:szCs w:val="20"/>
    </w:rPr>
  </w:style>
  <w:style w:type="character" w:customStyle="1" w:styleId="ae">
    <w:name w:val="纯文本 字符"/>
    <w:basedOn w:val="a2"/>
    <w:link w:val="ad"/>
    <w:qFormat/>
    <w:rPr>
      <w:rFonts w:ascii="宋体" w:eastAsia="宋体" w:hAnsi="Courier New" w:cs="Courier New"/>
      <w:szCs w:val="21"/>
    </w:rPr>
  </w:style>
  <w:style w:type="character" w:customStyle="1" w:styleId="12">
    <w:name w:val="尾注文本 字符1"/>
    <w:basedOn w:val="a2"/>
    <w:link w:val="af1"/>
    <w:uiPriority w:val="99"/>
    <w:qFormat/>
    <w:rPr>
      <w:rFonts w:ascii="Calibri" w:eastAsia="宋体" w:hAnsi="Calibri" w:cs="Times New Roman"/>
      <w:szCs w:val="24"/>
    </w:rPr>
  </w:style>
  <w:style w:type="character" w:customStyle="1" w:styleId="22">
    <w:name w:val="脚注文本 字符2"/>
    <w:basedOn w:val="a2"/>
    <w:link w:val="af8"/>
    <w:qFormat/>
    <w:rPr>
      <w:rFonts w:ascii="Calibri" w:eastAsia="宋体" w:hAnsi="Calibri" w:cs="Times New Roman"/>
      <w:sz w:val="18"/>
      <w:szCs w:val="24"/>
    </w:rPr>
  </w:style>
  <w:style w:type="paragraph" w:styleId="aff7">
    <w:name w:val="List Paragraph"/>
    <w:basedOn w:val="a0"/>
    <w:uiPriority w:val="34"/>
    <w:qFormat/>
    <w:pPr>
      <w:spacing w:line="240" w:lineRule="auto"/>
      <w:ind w:firstLine="420"/>
    </w:pPr>
    <w:rPr>
      <w:rFonts w:ascii="Calibri" w:eastAsia="宋体" w:hAnsi="Calibri" w:cs="Times New Roman"/>
      <w:sz w:val="21"/>
      <w:szCs w:val="24"/>
    </w:rPr>
  </w:style>
  <w:style w:type="paragraph" w:customStyle="1" w:styleId="WPSOffice1">
    <w:name w:val="WPSOffice手动目录 1"/>
    <w:rPr>
      <w:rFonts w:ascii="Times New Roman" w:eastAsia="宋体" w:hAnsi="Times New Roman" w:cs="Times New Roman"/>
    </w:rPr>
  </w:style>
  <w:style w:type="paragraph" w:customStyle="1" w:styleId="WPSOffice2">
    <w:name w:val="WPSOffice手动目录 2"/>
    <w:pPr>
      <w:ind w:leftChars="200" w:left="200"/>
    </w:pPr>
    <w:rPr>
      <w:rFonts w:ascii="Times New Roman" w:eastAsia="宋体" w:hAnsi="Times New Roman" w:cs="Times New Roman"/>
    </w:rPr>
  </w:style>
  <w:style w:type="paragraph" w:customStyle="1" w:styleId="WPSOffice3">
    <w:name w:val="WPSOffice手动目录 3"/>
    <w:pPr>
      <w:ind w:leftChars="400" w:left="400"/>
    </w:pPr>
    <w:rPr>
      <w:rFonts w:ascii="Times New Roman" w:eastAsia="宋体" w:hAnsi="Times New Roman" w:cs="Times New Roman"/>
    </w:rPr>
  </w:style>
  <w:style w:type="character" w:customStyle="1" w:styleId="s1">
    <w:name w:val="s1"/>
    <w:basedOn w:val="a2"/>
  </w:style>
  <w:style w:type="character" w:customStyle="1" w:styleId="cur">
    <w:name w:val="cur"/>
    <w:basedOn w:val="a2"/>
    <w:qFormat/>
    <w:rPr>
      <w:shd w:val="clear" w:color="auto" w:fill="FF0000"/>
    </w:rPr>
  </w:style>
  <w:style w:type="character" w:customStyle="1" w:styleId="active2">
    <w:name w:val="active2"/>
    <w:basedOn w:val="a2"/>
    <w:rPr>
      <w:color w:val="FFFFFF"/>
      <w:shd w:val="clear" w:color="auto" w:fill="CC0001"/>
    </w:rPr>
  </w:style>
  <w:style w:type="character" w:customStyle="1" w:styleId="text">
    <w:name w:val="text"/>
    <w:basedOn w:val="a2"/>
    <w:rPr>
      <w:color w:val="333333"/>
      <w:bdr w:val="single" w:sz="6" w:space="0" w:color="DDDDDD"/>
    </w:rPr>
  </w:style>
  <w:style w:type="character" w:customStyle="1" w:styleId="fontstrikethrough">
    <w:name w:val="fontstrikethrough"/>
    <w:basedOn w:val="a2"/>
    <w:qFormat/>
    <w:rPr>
      <w:strike/>
    </w:rPr>
  </w:style>
  <w:style w:type="character" w:customStyle="1" w:styleId="fontborder">
    <w:name w:val="fontborder"/>
    <w:basedOn w:val="a2"/>
    <w:qFormat/>
    <w:rPr>
      <w:bdr w:val="single" w:sz="6" w:space="0" w:color="000000"/>
    </w:rPr>
  </w:style>
  <w:style w:type="character" w:customStyle="1" w:styleId="active4">
    <w:name w:val="active4"/>
    <w:basedOn w:val="a2"/>
    <w:qFormat/>
    <w:rPr>
      <w:color w:val="FFFFFF"/>
      <w:shd w:val="clear" w:color="auto" w:fill="CC0001"/>
    </w:rPr>
  </w:style>
  <w:style w:type="paragraph" w:customStyle="1" w:styleId="TOC10">
    <w:name w:val="TOC 标题1"/>
    <w:basedOn w:val="1"/>
    <w:next w:val="a0"/>
    <w:uiPriority w:val="39"/>
    <w:unhideWhenUsed/>
    <w:qFormat/>
    <w:pPr>
      <w:widowControl/>
      <w:spacing w:before="240" w:line="259" w:lineRule="auto"/>
      <w:jc w:val="left"/>
      <w:outlineLvl w:val="9"/>
    </w:pPr>
    <w:rPr>
      <w:rFonts w:asciiTheme="majorHAnsi" w:eastAsiaTheme="majorEastAsia" w:hAnsiTheme="majorHAnsi" w:cstheme="majorBidi"/>
      <w:b/>
      <w:color w:val="2F5496" w:themeColor="accent1" w:themeShade="BF"/>
      <w:kern w:val="0"/>
      <w:szCs w:val="32"/>
    </w:rPr>
  </w:style>
  <w:style w:type="paragraph" w:customStyle="1" w:styleId="a">
    <w:name w:val="参考文献"/>
    <w:basedOn w:val="a0"/>
    <w:qFormat/>
    <w:pPr>
      <w:numPr>
        <w:numId w:val="2"/>
      </w:numPr>
      <w:spacing w:line="240" w:lineRule="auto"/>
      <w:ind w:firstLineChars="0" w:firstLine="0"/>
    </w:pPr>
    <w:rPr>
      <w:rFonts w:ascii="Calibri" w:eastAsia="宋体" w:hAnsi="Calibri" w:cs="Times New Roman"/>
      <w:sz w:val="18"/>
      <w:szCs w:val="18"/>
    </w:rPr>
  </w:style>
  <w:style w:type="paragraph" w:customStyle="1" w:styleId="14">
    <w:name w:val="修订1"/>
    <w:hidden/>
    <w:uiPriority w:val="99"/>
    <w:semiHidden/>
    <w:rPr>
      <w:rFonts w:ascii="Calibri" w:eastAsia="宋体" w:hAnsi="Calibri" w:cs="Times New Roman"/>
      <w:kern w:val="2"/>
      <w:sz w:val="21"/>
      <w:szCs w:val="24"/>
    </w:rPr>
  </w:style>
  <w:style w:type="paragraph" w:customStyle="1" w:styleId="aff8">
    <w:name w:val="作者"/>
    <w:basedOn w:val="a0"/>
    <w:pPr>
      <w:widowControl/>
      <w:spacing w:line="240" w:lineRule="auto"/>
      <w:ind w:firstLineChars="0" w:firstLine="0"/>
      <w:jc w:val="center"/>
    </w:pPr>
    <w:rPr>
      <w:rFonts w:eastAsia="宋体" w:cs="Times New Roman"/>
      <w:kern w:val="0"/>
      <w:sz w:val="24"/>
      <w:szCs w:val="24"/>
      <w:lang w:eastAsia="en-US"/>
    </w:rPr>
  </w:style>
  <w:style w:type="character" w:customStyle="1" w:styleId="af0">
    <w:name w:val="日期 字符"/>
    <w:basedOn w:val="a2"/>
    <w:link w:val="af"/>
    <w:uiPriority w:val="99"/>
    <w:semiHidden/>
    <w:qFormat/>
  </w:style>
  <w:style w:type="character" w:customStyle="1" w:styleId="Char1">
    <w:name w:val="日期 Char1"/>
    <w:basedOn w:val="a2"/>
    <w:uiPriority w:val="99"/>
    <w:semiHidden/>
    <w:rPr>
      <w:rFonts w:ascii="Times New Roman" w:eastAsia="方正仿宋_GBK" w:hAnsi="Times New Roman" w:cs="宋体"/>
      <w:sz w:val="30"/>
      <w:szCs w:val="28"/>
    </w:rPr>
  </w:style>
  <w:style w:type="character" w:customStyle="1" w:styleId="Char">
    <w:name w:val="图标题 Char"/>
    <w:link w:val="aff9"/>
    <w:qFormat/>
    <w:locked/>
    <w:rPr>
      <w:rFonts w:ascii="Times New Roman" w:eastAsia="黑体" w:hAnsi="Times New Roman" w:cs="Times New Roman"/>
      <w:bCs/>
      <w:sz w:val="28"/>
      <w:szCs w:val="28"/>
    </w:rPr>
  </w:style>
  <w:style w:type="paragraph" w:customStyle="1" w:styleId="aff9">
    <w:name w:val="图标题"/>
    <w:basedOn w:val="4"/>
    <w:next w:val="a0"/>
    <w:link w:val="Char"/>
    <w:qFormat/>
    <w:pPr>
      <w:wordWrap w:val="0"/>
      <w:ind w:firstLineChars="0" w:firstLine="0"/>
      <w:jc w:val="center"/>
    </w:pPr>
    <w:rPr>
      <w:rFonts w:eastAsia="黑体"/>
      <w:sz w:val="28"/>
    </w:rPr>
  </w:style>
  <w:style w:type="character" w:customStyle="1" w:styleId="affa">
    <w:name w:val="二级标题 字符"/>
    <w:basedOn w:val="a2"/>
    <w:link w:val="affb"/>
    <w:qFormat/>
    <w:locked/>
    <w:rPr>
      <w:rFonts w:ascii="Times New Roman" w:eastAsia="楷体_GB2312" w:hAnsi="Times New Roman" w:cs="Times New Roman"/>
      <w:spacing w:val="6"/>
      <w:sz w:val="32"/>
      <w:szCs w:val="21"/>
    </w:rPr>
  </w:style>
  <w:style w:type="paragraph" w:customStyle="1" w:styleId="affb">
    <w:name w:val="二级标题"/>
    <w:basedOn w:val="a0"/>
    <w:next w:val="a0"/>
    <w:link w:val="affa"/>
    <w:pPr>
      <w:topLinePunct/>
      <w:autoSpaceDN w:val="0"/>
      <w:spacing w:line="560" w:lineRule="atLeast"/>
      <w:ind w:firstLine="200"/>
      <w:outlineLvl w:val="1"/>
    </w:pPr>
    <w:rPr>
      <w:rFonts w:eastAsia="楷体_GB2312" w:cs="Times New Roman"/>
      <w:spacing w:val="6"/>
      <w:sz w:val="32"/>
      <w:szCs w:val="21"/>
    </w:rPr>
  </w:style>
  <w:style w:type="paragraph" w:customStyle="1" w:styleId="TOC21">
    <w:name w:val="TOC 标题2"/>
    <w:basedOn w:val="1"/>
    <w:next w:val="a0"/>
    <w:uiPriority w:val="39"/>
    <w:unhideWhenUsed/>
    <w:qFormat/>
    <w:pPr>
      <w:widowControl/>
      <w:spacing w:before="240" w:line="259" w:lineRule="auto"/>
      <w:jc w:val="left"/>
      <w:outlineLvl w:val="9"/>
    </w:pPr>
    <w:rPr>
      <w:rFonts w:asciiTheme="majorHAnsi" w:eastAsiaTheme="majorEastAsia" w:hAnsiTheme="majorHAnsi" w:cstheme="majorBidi"/>
      <w:b/>
      <w:bCs/>
      <w:color w:val="2F5496" w:themeColor="accent1" w:themeShade="BF"/>
      <w:kern w:val="0"/>
      <w:sz w:val="32"/>
      <w:szCs w:val="32"/>
    </w:rPr>
  </w:style>
  <w:style w:type="paragraph" w:customStyle="1" w:styleId="affc">
    <w:name w:val="图题"/>
    <w:basedOn w:val="a0"/>
    <w:link w:val="Char0"/>
    <w:qFormat/>
    <w:pPr>
      <w:adjustRightInd w:val="0"/>
      <w:snapToGrid w:val="0"/>
      <w:spacing w:beforeLines="50" w:before="120" w:afterLines="50" w:after="120" w:line="240" w:lineRule="auto"/>
      <w:ind w:firstLineChars="0" w:firstLine="0"/>
      <w:jc w:val="center"/>
    </w:pPr>
    <w:rPr>
      <w:rFonts w:eastAsia="宋体" w:cs="Times New Roman"/>
      <w:b/>
      <w:bCs/>
      <w:kern w:val="0"/>
      <w:sz w:val="24"/>
      <w:szCs w:val="21"/>
    </w:rPr>
  </w:style>
  <w:style w:type="character" w:customStyle="1" w:styleId="Char0">
    <w:name w:val="图题 Char"/>
    <w:basedOn w:val="a2"/>
    <w:link w:val="affc"/>
    <w:qFormat/>
    <w:rPr>
      <w:rFonts w:ascii="Times New Roman" w:eastAsia="宋体" w:hAnsi="Times New Roman" w:cs="Times New Roman"/>
      <w:b/>
      <w:bCs/>
      <w:sz w:val="24"/>
      <w:szCs w:val="21"/>
    </w:rPr>
  </w:style>
  <w:style w:type="paragraph" w:customStyle="1" w:styleId="affd">
    <w:name w:val="图行"/>
    <w:basedOn w:val="affe"/>
    <w:link w:val="Char2"/>
    <w:qFormat/>
  </w:style>
  <w:style w:type="paragraph" w:customStyle="1" w:styleId="affe">
    <w:name w:val="表题"/>
    <w:basedOn w:val="affc"/>
    <w:link w:val="Char3"/>
    <w:qFormat/>
  </w:style>
  <w:style w:type="character" w:customStyle="1" w:styleId="Char2">
    <w:name w:val="图行 Char"/>
    <w:basedOn w:val="a2"/>
    <w:link w:val="affd"/>
    <w:qFormat/>
    <w:rPr>
      <w:rFonts w:ascii="Times New Roman" w:eastAsia="宋体" w:hAnsi="Times New Roman" w:cs="Times New Roman"/>
      <w:b/>
      <w:bCs/>
      <w:sz w:val="24"/>
      <w:szCs w:val="21"/>
    </w:rPr>
  </w:style>
  <w:style w:type="character" w:customStyle="1" w:styleId="Char3">
    <w:name w:val="表题 Char"/>
    <w:basedOn w:val="Char0"/>
    <w:link w:val="affe"/>
    <w:rPr>
      <w:rFonts w:ascii="Times New Roman" w:eastAsia="宋体" w:hAnsi="Times New Roman" w:cs="Times New Roman"/>
      <w:b/>
      <w:bCs/>
      <w:sz w:val="24"/>
      <w:szCs w:val="21"/>
    </w:rPr>
  </w:style>
  <w:style w:type="character" w:customStyle="1" w:styleId="aa">
    <w:name w:val="正文文本 字符"/>
    <w:basedOn w:val="a2"/>
    <w:link w:val="a9"/>
    <w:qFormat/>
    <w:rPr>
      <w:rFonts w:ascii="Times New Roman" w:eastAsia="宋体" w:hAnsi="Times New Roman" w:cs="Times New Roman"/>
      <w:sz w:val="24"/>
      <w:szCs w:val="24"/>
    </w:rPr>
  </w:style>
  <w:style w:type="table" w:customStyle="1" w:styleId="3-51">
    <w:name w:val="网格表 3 - 着色 51"/>
    <w:basedOn w:val="a3"/>
    <w:uiPriority w:val="48"/>
    <w:qFormat/>
    <w:rPr>
      <w:rFonts w:ascii="Times New Roman" w:eastAsia="宋体" w:hAnsi="Times New Roman" w:cs="Times New Roman"/>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1">
    <w:name w:val="无格式表格 31"/>
    <w:basedOn w:val="a3"/>
    <w:uiPriority w:val="43"/>
    <w:qFormat/>
    <w:rPr>
      <w:rFonts w:ascii="Times New Roman" w:eastAsia="宋体" w:hAnsi="Times New Roma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61">
    <w:name w:val="网格表 3 - 着色 61"/>
    <w:basedOn w:val="a3"/>
    <w:uiPriority w:val="48"/>
    <w:qFormat/>
    <w:rPr>
      <w:rFonts w:ascii="Times New Roman" w:eastAsia="宋体" w:hAnsi="Times New Roman" w:cs="Times New Roman"/>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3-21">
    <w:name w:val="网格表 3 - 着色 21"/>
    <w:basedOn w:val="a3"/>
    <w:uiPriority w:val="48"/>
    <w:qFormat/>
    <w:rPr>
      <w:rFonts w:ascii="Times New Roman" w:eastAsia="宋体" w:hAnsi="Times New Roman" w:cs="Times New Roman"/>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2">
    <w:name w:val="无格式表格 32"/>
    <w:basedOn w:val="a3"/>
    <w:uiPriority w:val="43"/>
    <w:qFormat/>
    <w:rPr>
      <w:rFonts w:ascii="Times New Roman" w:eastAsia="宋体" w:hAnsi="Times New Roma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52">
    <w:name w:val="网格表 3 - 着色 52"/>
    <w:basedOn w:val="a3"/>
    <w:uiPriority w:val="48"/>
    <w:qFormat/>
    <w:rPr>
      <w:rFonts w:ascii="Times New Roman" w:eastAsia="宋体" w:hAnsi="Times New Roman" w:cs="Times New Roman"/>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24">
    <w:name w:val="正文文本首行缩进 2 字符"/>
    <w:basedOn w:val="ac"/>
    <w:link w:val="23"/>
    <w:qFormat/>
    <w:rPr>
      <w:rFonts w:ascii="Calibri" w:eastAsia="宋体" w:hAnsi="Calibri" w:cs="Times New Roman"/>
      <w:kern w:val="0"/>
      <w:sz w:val="28"/>
      <w:szCs w:val="24"/>
    </w:rPr>
  </w:style>
  <w:style w:type="paragraph" w:customStyle="1" w:styleId="15">
    <w:name w:val="普通(网站)1"/>
    <w:basedOn w:val="a0"/>
    <w:pPr>
      <w:spacing w:line="240" w:lineRule="auto"/>
      <w:ind w:firstLineChars="0" w:firstLine="0"/>
      <w:jc w:val="left"/>
    </w:pPr>
    <w:rPr>
      <w:rFonts w:eastAsia="宋体" w:cs="Times New Roman"/>
      <w:kern w:val="0"/>
      <w:sz w:val="24"/>
      <w:szCs w:val="24"/>
    </w:rPr>
  </w:style>
  <w:style w:type="character" w:customStyle="1" w:styleId="a7">
    <w:name w:val="文档结构图 字符"/>
    <w:link w:val="a6"/>
    <w:uiPriority w:val="99"/>
    <w:rPr>
      <w:rFonts w:ascii="宋体" w:eastAsia="宋体" w:hAnsi="Times New Roman" w:cs="Times New Roman"/>
      <w:sz w:val="18"/>
      <w:szCs w:val="18"/>
    </w:rPr>
  </w:style>
  <w:style w:type="character" w:customStyle="1" w:styleId="Char4">
    <w:name w:val="文档结构图 Char"/>
    <w:basedOn w:val="a2"/>
    <w:uiPriority w:val="99"/>
    <w:qFormat/>
    <w:rPr>
      <w:rFonts w:ascii="Microsoft YaHei UI" w:eastAsia="Microsoft YaHei UI" w:hAnsi="Times New Roman" w:cs="宋体"/>
      <w:sz w:val="18"/>
      <w:szCs w:val="18"/>
    </w:rPr>
  </w:style>
  <w:style w:type="character" w:customStyle="1" w:styleId="af3">
    <w:name w:val="批注框文本 字符"/>
    <w:link w:val="af2"/>
    <w:uiPriority w:val="99"/>
    <w:qFormat/>
    <w:rPr>
      <w:rFonts w:ascii="Times New Roman" w:eastAsia="宋体" w:hAnsi="Times New Roman" w:cs="Times New Roman"/>
      <w:sz w:val="18"/>
      <w:szCs w:val="18"/>
    </w:rPr>
  </w:style>
  <w:style w:type="character" w:customStyle="1" w:styleId="Char5">
    <w:name w:val="批注框文本 Char"/>
    <w:basedOn w:val="a2"/>
    <w:uiPriority w:val="99"/>
    <w:qFormat/>
    <w:rPr>
      <w:rFonts w:ascii="Times New Roman" w:eastAsia="方正仿宋_GBK" w:hAnsi="Times New Roman" w:cs="宋体"/>
      <w:sz w:val="18"/>
      <w:szCs w:val="18"/>
    </w:rPr>
  </w:style>
  <w:style w:type="character" w:customStyle="1" w:styleId="afd">
    <w:name w:val="批注主题 字符"/>
    <w:link w:val="afc"/>
    <w:uiPriority w:val="99"/>
    <w:rPr>
      <w:rFonts w:ascii="Calibri" w:eastAsia="宋体" w:hAnsi="Calibri" w:cs="Times New Roman"/>
      <w:b/>
      <w:bCs/>
    </w:rPr>
  </w:style>
  <w:style w:type="character" w:customStyle="1" w:styleId="Char6">
    <w:name w:val="批注主题 Char"/>
    <w:basedOn w:val="10"/>
    <w:uiPriority w:val="99"/>
    <w:rPr>
      <w:rFonts w:ascii="Times New Roman" w:eastAsia="方正仿宋_GBK" w:hAnsi="Times New Roman" w:cs="宋体"/>
      <w:b/>
      <w:bCs/>
      <w:kern w:val="0"/>
      <w:sz w:val="30"/>
      <w:szCs w:val="28"/>
    </w:rPr>
  </w:style>
  <w:style w:type="paragraph" w:styleId="afff">
    <w:name w:val="No Spacing"/>
    <w:link w:val="afff0"/>
    <w:uiPriority w:val="1"/>
    <w:qFormat/>
    <w:pPr>
      <w:widowControl w:val="0"/>
      <w:ind w:firstLineChars="200" w:firstLine="200"/>
      <w:jc w:val="both"/>
    </w:pPr>
    <w:rPr>
      <w:rFonts w:ascii="Times New Roman" w:eastAsia="宋体" w:hAnsi="Times New Roman" w:cs="Times New Roman"/>
      <w:kern w:val="2"/>
      <w:sz w:val="21"/>
      <w:szCs w:val="22"/>
    </w:rPr>
  </w:style>
  <w:style w:type="character" w:customStyle="1" w:styleId="afff0">
    <w:name w:val="无间隔 字符"/>
    <w:link w:val="afff"/>
    <w:uiPriority w:val="1"/>
    <w:rPr>
      <w:rFonts w:ascii="Times New Roman" w:eastAsia="宋体" w:hAnsi="Times New Roman" w:cs="Times New Roman"/>
    </w:rPr>
  </w:style>
  <w:style w:type="character" w:customStyle="1" w:styleId="16">
    <w:name w:val="标题 1 字符"/>
    <w:uiPriority w:val="9"/>
    <w:rPr>
      <w:b/>
      <w:bCs/>
      <w:kern w:val="44"/>
      <w:sz w:val="44"/>
      <w:szCs w:val="44"/>
    </w:rPr>
  </w:style>
  <w:style w:type="character" w:customStyle="1" w:styleId="40">
    <w:name w:val="标题 4 字符"/>
    <w:uiPriority w:val="9"/>
    <w:rPr>
      <w:rFonts w:ascii="Cambria" w:hAnsi="Cambria"/>
      <w:b/>
      <w:bCs/>
      <w:kern w:val="2"/>
      <w:sz w:val="28"/>
      <w:szCs w:val="28"/>
    </w:rPr>
  </w:style>
  <w:style w:type="paragraph" w:customStyle="1" w:styleId="Style101">
    <w:name w:val="_Style 101"/>
    <w:basedOn w:val="a0"/>
    <w:next w:val="aff7"/>
    <w:uiPriority w:val="34"/>
    <w:qFormat/>
    <w:pPr>
      <w:spacing w:line="400" w:lineRule="exact"/>
      <w:ind w:firstLine="420"/>
    </w:pPr>
    <w:rPr>
      <w:rFonts w:eastAsia="宋体" w:cs="Times New Roman"/>
      <w:sz w:val="21"/>
      <w:szCs w:val="22"/>
    </w:rPr>
  </w:style>
  <w:style w:type="character" w:customStyle="1" w:styleId="afff1">
    <w:name w:val="批注文字 字符"/>
    <w:uiPriority w:val="99"/>
    <w:qFormat/>
    <w:rPr>
      <w:rFonts w:ascii="Calibri" w:hAnsi="Calibri"/>
      <w:kern w:val="2"/>
      <w:sz w:val="21"/>
      <w:szCs w:val="22"/>
    </w:rPr>
  </w:style>
  <w:style w:type="character" w:customStyle="1" w:styleId="afff2">
    <w:name w:val="尾注文本 字符"/>
    <w:uiPriority w:val="99"/>
    <w:rPr>
      <w:kern w:val="2"/>
      <w:sz w:val="21"/>
      <w:szCs w:val="22"/>
    </w:rPr>
  </w:style>
  <w:style w:type="character" w:customStyle="1" w:styleId="17">
    <w:name w:val="页脚 字符1"/>
    <w:uiPriority w:val="99"/>
    <w:qFormat/>
    <w:rPr>
      <w:rFonts w:ascii="Calibri" w:hAnsi="Calibri"/>
      <w:kern w:val="2"/>
      <w:sz w:val="18"/>
      <w:szCs w:val="18"/>
    </w:rPr>
  </w:style>
  <w:style w:type="character" w:customStyle="1" w:styleId="afff3">
    <w:name w:val="页眉 字符"/>
    <w:uiPriority w:val="99"/>
    <w:rPr>
      <w:rFonts w:ascii="Calibri" w:hAnsi="Calibri"/>
      <w:kern w:val="2"/>
      <w:sz w:val="18"/>
      <w:szCs w:val="18"/>
    </w:rPr>
  </w:style>
  <w:style w:type="character" w:customStyle="1" w:styleId="18">
    <w:name w:val="脚注文本 字符1"/>
    <w:rPr>
      <w:rFonts w:ascii="Calibri" w:hAnsi="Calibri"/>
      <w:kern w:val="2"/>
      <w:sz w:val="18"/>
      <w:szCs w:val="18"/>
    </w:rPr>
  </w:style>
  <w:style w:type="table" w:customStyle="1" w:styleId="19">
    <w:name w:val="网格型1"/>
    <w:basedOn w:val="a3"/>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dinary-span-edit2">
    <w:name w:val="ordinary-span-edit2"/>
  </w:style>
  <w:style w:type="character" w:customStyle="1" w:styleId="high-light-bg4">
    <w:name w:val="high-light-bg4"/>
  </w:style>
  <w:style w:type="character" w:customStyle="1" w:styleId="apple-converted-space">
    <w:name w:val="apple-converted-space"/>
  </w:style>
  <w:style w:type="character" w:customStyle="1" w:styleId="highlight">
    <w:name w:val="highlight"/>
  </w:style>
  <w:style w:type="character" w:customStyle="1" w:styleId="contenttitle3">
    <w:name w:val="contenttitle3"/>
    <w:qFormat/>
    <w:rPr>
      <w:b/>
      <w:bCs/>
      <w:color w:val="35A1D4"/>
    </w:rPr>
  </w:style>
  <w:style w:type="character" w:customStyle="1" w:styleId="titlefont">
    <w:name w:val="titlefont"/>
  </w:style>
  <w:style w:type="paragraph" w:customStyle="1" w:styleId="tgt1">
    <w:name w:val="tgt1"/>
    <w:basedOn w:val="a0"/>
    <w:pPr>
      <w:widowControl/>
      <w:spacing w:after="150" w:line="360" w:lineRule="auto"/>
      <w:ind w:firstLineChars="0" w:firstLine="0"/>
      <w:jc w:val="left"/>
    </w:pPr>
    <w:rPr>
      <w:rFonts w:ascii="宋体" w:eastAsia="宋体" w:hAnsi="宋体"/>
      <w:kern w:val="0"/>
      <w:sz w:val="24"/>
      <w:szCs w:val="24"/>
    </w:rPr>
  </w:style>
  <w:style w:type="character" w:customStyle="1" w:styleId="afff4">
    <w:name w:val="脚注文本 字符"/>
    <w:rPr>
      <w:sz w:val="18"/>
      <w:szCs w:val="18"/>
    </w:rPr>
  </w:style>
  <w:style w:type="character" w:customStyle="1" w:styleId="1a">
    <w:name w:val="未处理的提及1"/>
    <w:uiPriority w:val="99"/>
    <w:unhideWhenUsed/>
    <w:rPr>
      <w:color w:val="605E5C"/>
      <w:shd w:val="clear" w:color="auto" w:fill="E1DFDD"/>
    </w:rPr>
  </w:style>
  <w:style w:type="character" w:customStyle="1" w:styleId="afff5">
    <w:name w:val="页脚 字符"/>
    <w:uiPriority w:val="99"/>
    <w:qFormat/>
  </w:style>
  <w:style w:type="table" w:customStyle="1" w:styleId="110">
    <w:name w:val="网格型11"/>
    <w:basedOn w:val="a3"/>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uiPriority w:val="99"/>
    <w:semiHidden/>
    <w:rPr>
      <w:color w:val="808080"/>
    </w:rPr>
  </w:style>
  <w:style w:type="paragraph" w:customStyle="1" w:styleId="afff7">
    <w:name w:val="预测正文"/>
    <w:pPr>
      <w:widowControl w:val="0"/>
      <w:adjustRightInd w:val="0"/>
      <w:snapToGrid w:val="0"/>
      <w:spacing w:line="510" w:lineRule="exact"/>
      <w:ind w:firstLineChars="200" w:firstLine="598"/>
      <w:jc w:val="both"/>
    </w:pPr>
    <w:rPr>
      <w:rFonts w:ascii="仿宋_GB2312" w:eastAsia="仿宋_GB2312" w:hAnsi="仿宋_GB2312" w:cs="Times New Roman"/>
      <w:kern w:val="2"/>
      <w:sz w:val="28"/>
      <w:szCs w:val="28"/>
    </w:rPr>
  </w:style>
  <w:style w:type="paragraph" w:customStyle="1" w:styleId="25">
    <w:name w:val="预测标题2"/>
    <w:pPr>
      <w:widowControl w:val="0"/>
      <w:adjustRightInd w:val="0"/>
      <w:snapToGrid w:val="0"/>
      <w:spacing w:beforeLines="50" w:before="240" w:afterLines="50" w:after="240" w:line="510" w:lineRule="exact"/>
      <w:ind w:firstLineChars="200" w:firstLine="599"/>
      <w:jc w:val="both"/>
    </w:pPr>
    <w:rPr>
      <w:rFonts w:ascii="黑体" w:eastAsia="黑体" w:hAnsi="黑体" w:cs="Times New Roman"/>
      <w:b/>
      <w:kern w:val="2"/>
      <w:sz w:val="28"/>
      <w:szCs w:val="28"/>
    </w:rPr>
  </w:style>
  <w:style w:type="paragraph" w:customStyle="1" w:styleId="afff8">
    <w:name w:val="预测表头"/>
    <w:pPr>
      <w:widowControl w:val="0"/>
      <w:adjustRightInd w:val="0"/>
      <w:snapToGrid w:val="0"/>
      <w:spacing w:beforeLines="50" w:before="240" w:line="360" w:lineRule="exact"/>
      <w:jc w:val="center"/>
    </w:pPr>
    <w:rPr>
      <w:rFonts w:ascii="宋体" w:eastAsia="宋体" w:hAnsi="宋体" w:cs="Times New Roman"/>
      <w:b/>
      <w:kern w:val="2"/>
      <w:sz w:val="24"/>
      <w:szCs w:val="24"/>
    </w:rPr>
  </w:style>
  <w:style w:type="paragraph" w:customStyle="1" w:styleId="afff9">
    <w:name w:val="预测表格"/>
    <w:qFormat/>
    <w:pPr>
      <w:widowControl w:val="0"/>
      <w:adjustRightInd w:val="0"/>
      <w:snapToGrid w:val="0"/>
      <w:jc w:val="both"/>
    </w:pPr>
    <w:rPr>
      <w:rFonts w:ascii="仿宋_GB2312" w:eastAsia="宋体" w:hAnsi="仿宋_GB2312" w:cs="Times New Roman" w:hint="eastAsia"/>
      <w:kern w:val="2"/>
      <w:sz w:val="21"/>
      <w:szCs w:val="28"/>
    </w:rPr>
  </w:style>
  <w:style w:type="character" w:customStyle="1" w:styleId="afb">
    <w:name w:val="标题 字符"/>
    <w:basedOn w:val="a2"/>
    <w:link w:val="afa"/>
    <w:uiPriority w:val="10"/>
    <w:qFormat/>
    <w:rPr>
      <w:rFonts w:asciiTheme="majorHAnsi" w:eastAsia="黑体" w:hAnsiTheme="majorHAnsi" w:cstheme="majorBidi"/>
      <w:b/>
      <w:bCs/>
      <w:sz w:val="32"/>
      <w:szCs w:val="3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0"/>
    <w:uiPriority w:val="1"/>
    <w:pPr>
      <w:autoSpaceDE w:val="0"/>
      <w:autoSpaceDN w:val="0"/>
      <w:spacing w:before="76" w:line="240" w:lineRule="auto"/>
      <w:ind w:firstLineChars="0" w:firstLine="0"/>
      <w:jc w:val="center"/>
    </w:pPr>
    <w:rPr>
      <w:rFonts w:ascii="Arial Unicode MS" w:eastAsia="Arial Unicode MS" w:hAnsi="Arial Unicode MS" w:cs="Arial Unicode MS"/>
      <w:kern w:val="0"/>
      <w:sz w:val="22"/>
      <w:szCs w:val="22"/>
      <w:lang w:val="zh-CN" w:bidi="zh-CN"/>
    </w:rPr>
  </w:style>
  <w:style w:type="paragraph" w:customStyle="1" w:styleId="afffa">
    <w:name w:val="脚注"/>
    <w:basedOn w:val="a0"/>
    <w:qFormat/>
    <w:pPr>
      <w:spacing w:line="360" w:lineRule="auto"/>
      <w:ind w:firstLine="420"/>
    </w:pPr>
    <w:rPr>
      <w:rFonts w:ascii="黑体" w:eastAsia="黑体" w:hAnsi="黑体" w:cstheme="minorBidi"/>
      <w:sz w:val="21"/>
      <w:szCs w:val="21"/>
    </w:rPr>
  </w:style>
  <w:style w:type="paragraph" w:customStyle="1" w:styleId="111">
    <w:name w:val="修订11"/>
    <w:hidden/>
    <w:uiPriority w:val="99"/>
    <w:semiHidden/>
    <w:rPr>
      <w:kern w:val="2"/>
      <w:sz w:val="21"/>
      <w:szCs w:val="24"/>
    </w:rPr>
  </w:style>
  <w:style w:type="character" w:customStyle="1" w:styleId="1b">
    <w:name w:val="纯文本 字符1"/>
    <w:basedOn w:val="a2"/>
    <w:rPr>
      <w:rFonts w:asciiTheme="minorEastAsia" w:eastAsiaTheme="minorEastAsia" w:hAnsi="Courier New" w:cs="Courier New"/>
      <w:kern w:val="2"/>
      <w:sz w:val="21"/>
      <w:szCs w:val="24"/>
    </w:rPr>
  </w:style>
  <w:style w:type="paragraph" w:customStyle="1" w:styleId="afffb">
    <w:name w:val="摘要"/>
    <w:basedOn w:val="a0"/>
    <w:link w:val="Char7"/>
    <w:qFormat/>
    <w:pPr>
      <w:spacing w:afterLines="50" w:after="120" w:line="360" w:lineRule="auto"/>
      <w:ind w:firstLineChars="0" w:firstLine="0"/>
      <w:jc w:val="center"/>
    </w:pPr>
    <w:rPr>
      <w:rFonts w:ascii="黑体" w:eastAsia="黑体" w:hAnsi="黑体"/>
      <w:bCs/>
      <w:sz w:val="24"/>
      <w:szCs w:val="24"/>
    </w:rPr>
  </w:style>
  <w:style w:type="character" w:customStyle="1" w:styleId="Char7">
    <w:name w:val="摘要 Char"/>
    <w:basedOn w:val="a2"/>
    <w:link w:val="afffb"/>
    <w:rPr>
      <w:rFonts w:ascii="黑体" w:eastAsia="黑体" w:hAnsi="黑体" w:cs="宋体"/>
      <w:bCs/>
      <w:sz w:val="24"/>
      <w:szCs w:val="24"/>
    </w:rPr>
  </w:style>
  <w:style w:type="paragraph" w:customStyle="1" w:styleId="afffc">
    <w:name w:val="空行"/>
    <w:link w:val="Char8"/>
    <w:qFormat/>
    <w:pPr>
      <w:snapToGrid w:val="0"/>
    </w:pPr>
    <w:rPr>
      <w:rFonts w:ascii="Times New Roman" w:eastAsia="楷体_GB2312" w:hAnsi="Times New Roman" w:cs="宋体"/>
      <w:color w:val="000000"/>
      <w:sz w:val="24"/>
      <w:szCs w:val="24"/>
      <w:lang w:val="zh-CN"/>
    </w:rPr>
  </w:style>
  <w:style w:type="paragraph" w:customStyle="1" w:styleId="afffd">
    <w:name w:val="专栏"/>
    <w:basedOn w:val="a0"/>
    <w:link w:val="Char9"/>
    <w:pPr>
      <w:snapToGrid w:val="0"/>
      <w:spacing w:beforeLines="100" w:before="240" w:after="120" w:line="360" w:lineRule="auto"/>
      <w:ind w:firstLineChars="0" w:firstLine="0"/>
      <w:jc w:val="center"/>
    </w:pPr>
    <w:rPr>
      <w:rFonts w:ascii="仿宋" w:eastAsia="仿宋" w:hAnsi="仿宋" w:cs="Times New Roman"/>
      <w:b/>
      <w:bCs/>
      <w:sz w:val="24"/>
      <w:szCs w:val="24"/>
    </w:rPr>
  </w:style>
  <w:style w:type="character" w:customStyle="1" w:styleId="TOC20">
    <w:name w:val="TOC 2 字符"/>
    <w:basedOn w:val="a2"/>
    <w:link w:val="TOC2"/>
    <w:rPr>
      <w:rFonts w:ascii="Times New Roman" w:eastAsia="宋体" w:hAnsi="Times New Roman" w:cs="Times New Roman"/>
      <w:smallCaps/>
      <w:sz w:val="24"/>
      <w:szCs w:val="24"/>
    </w:rPr>
  </w:style>
  <w:style w:type="character" w:customStyle="1" w:styleId="Char8">
    <w:name w:val="空行 Char"/>
    <w:basedOn w:val="TOC20"/>
    <w:link w:val="afffc"/>
    <w:rPr>
      <w:rFonts w:ascii="Times New Roman" w:eastAsia="楷体_GB2312" w:hAnsi="Times New Roman" w:cs="宋体"/>
      <w:smallCaps w:val="0"/>
      <w:color w:val="000000"/>
      <w:sz w:val="24"/>
      <w:szCs w:val="24"/>
      <w:lang w:val="zh-CN"/>
    </w:rPr>
  </w:style>
  <w:style w:type="paragraph" w:customStyle="1" w:styleId="afffe">
    <w:name w:val="图注"/>
    <w:basedOn w:val="a0"/>
    <w:link w:val="Chara"/>
    <w:qFormat/>
    <w:pPr>
      <w:snapToGrid w:val="0"/>
      <w:spacing w:beforeLines="50" w:before="120" w:line="360" w:lineRule="auto"/>
      <w:ind w:firstLine="420"/>
    </w:pPr>
    <w:rPr>
      <w:rFonts w:eastAsia="宋体" w:cs="楷体_GB2312"/>
      <w:sz w:val="21"/>
      <w:szCs w:val="21"/>
    </w:rPr>
  </w:style>
  <w:style w:type="character" w:customStyle="1" w:styleId="Char9">
    <w:name w:val="专栏 Char"/>
    <w:basedOn w:val="a2"/>
    <w:link w:val="afffd"/>
    <w:rPr>
      <w:rFonts w:ascii="仿宋" w:eastAsia="仿宋" w:hAnsi="仿宋" w:cs="Times New Roman"/>
      <w:b/>
      <w:bCs/>
      <w:kern w:val="2"/>
      <w:sz w:val="24"/>
      <w:szCs w:val="24"/>
    </w:rPr>
  </w:style>
  <w:style w:type="character" w:customStyle="1" w:styleId="Chara">
    <w:name w:val="图注 Char"/>
    <w:basedOn w:val="a2"/>
    <w:link w:val="afffe"/>
    <w:qFormat/>
    <w:rPr>
      <w:rFonts w:ascii="Times New Roman" w:eastAsia="宋体" w:hAnsi="Times New Roman" w:cs="楷体_GB2312"/>
      <w:kern w:val="2"/>
      <w:sz w:val="21"/>
      <w:szCs w:val="21"/>
    </w:rPr>
  </w:style>
  <w:style w:type="character" w:customStyle="1" w:styleId="150">
    <w:name w:val="15"/>
    <w:rPr>
      <w:rFonts w:ascii="Times New Roman" w:hAnsi="Times New Roman" w:cs="Times New Roman" w:hint="default"/>
      <w:sz w:val="21"/>
      <w:szCs w:val="21"/>
    </w:rPr>
  </w:style>
  <w:style w:type="character" w:customStyle="1" w:styleId="definedword">
    <w:name w:val="definedword"/>
    <w:basedOn w:val="a2"/>
    <w:rPr>
      <w:rFonts w:ascii="Times New Roman" w:hAnsi="Times New Roman" w:cs="Times New Roman" w:hint="default"/>
    </w:rPr>
  </w:style>
  <w:style w:type="character" w:customStyle="1" w:styleId="Charb">
    <w:name w:val="我的正文 Char"/>
    <w:basedOn w:val="a2"/>
    <w:link w:val="affff"/>
    <w:qFormat/>
    <w:locked/>
    <w:rPr>
      <w:rFonts w:ascii="宋体" w:eastAsia="宋体" w:hAnsi="宋体"/>
      <w:szCs w:val="24"/>
    </w:rPr>
  </w:style>
  <w:style w:type="paragraph" w:customStyle="1" w:styleId="affff">
    <w:name w:val="我的正文"/>
    <w:basedOn w:val="a0"/>
    <w:link w:val="Charb"/>
    <w:pPr>
      <w:adjustRightInd w:val="0"/>
      <w:spacing w:before="240" w:line="240" w:lineRule="auto"/>
      <w:ind w:firstLine="475"/>
    </w:pPr>
    <w:rPr>
      <w:rFonts w:ascii="宋体" w:eastAsia="宋体" w:hAnsi="宋体" w:cstheme="minorBidi"/>
      <w:kern w:val="0"/>
      <w:sz w:val="20"/>
      <w:szCs w:val="24"/>
    </w:rPr>
  </w:style>
  <w:style w:type="character" w:customStyle="1" w:styleId="2Char">
    <w:name w:val="标题2 Char"/>
    <w:basedOn w:val="a2"/>
    <w:link w:val="26"/>
    <w:locked/>
    <w:rPr>
      <w:sz w:val="28"/>
      <w:szCs w:val="24"/>
    </w:rPr>
  </w:style>
  <w:style w:type="paragraph" w:customStyle="1" w:styleId="26">
    <w:name w:val="标题2"/>
    <w:basedOn w:val="a0"/>
    <w:link w:val="2Char"/>
    <w:pPr>
      <w:adjustRightInd w:val="0"/>
      <w:spacing w:line="240" w:lineRule="auto"/>
      <w:ind w:firstLineChars="0" w:firstLine="0"/>
      <w:jc w:val="left"/>
      <w:outlineLvl w:val="2"/>
    </w:pPr>
    <w:rPr>
      <w:rFonts w:asciiTheme="minorHAnsi" w:eastAsiaTheme="minorEastAsia" w:hAnsiTheme="minorHAnsi" w:cstheme="minorBidi"/>
      <w:kern w:val="0"/>
      <w:sz w:val="28"/>
      <w:szCs w:val="24"/>
    </w:rPr>
  </w:style>
  <w:style w:type="character" w:customStyle="1" w:styleId="Charc">
    <w:name w:val="表格 Char"/>
    <w:basedOn w:val="a2"/>
    <w:link w:val="affff0"/>
    <w:qFormat/>
    <w:locked/>
    <w:rPr>
      <w:rFonts w:ascii="宋体" w:eastAsia="宋体" w:hAnsi="宋体" w:cs="宋体"/>
      <w:szCs w:val="24"/>
    </w:rPr>
  </w:style>
  <w:style w:type="paragraph" w:customStyle="1" w:styleId="affff0">
    <w:name w:val="表格"/>
    <w:basedOn w:val="a0"/>
    <w:link w:val="Charc"/>
    <w:qFormat/>
    <w:pPr>
      <w:spacing w:line="400" w:lineRule="exact"/>
      <w:ind w:firstLineChars="0" w:firstLine="0"/>
      <w:jc w:val="center"/>
    </w:pPr>
    <w:rPr>
      <w:rFonts w:ascii="宋体" w:eastAsia="宋体" w:hAnsi="宋体"/>
      <w:kern w:val="0"/>
      <w:sz w:val="20"/>
      <w:szCs w:val="24"/>
    </w:rPr>
  </w:style>
  <w:style w:type="paragraph" w:customStyle="1" w:styleId="Normal-TableGrid-BR2">
    <w:name w:val="Normal-TableGrid-BR2"/>
    <w:rPr>
      <w:rFonts w:eastAsiaTheme="minorHAnsi"/>
      <w:sz w:val="22"/>
      <w:szCs w:val="22"/>
    </w:rPr>
  </w:style>
  <w:style w:type="character" w:customStyle="1" w:styleId="font11">
    <w:name w:val="font11"/>
    <w:basedOn w:val="a2"/>
    <w:rPr>
      <w:rFonts w:ascii="方正仿宋_GBK" w:eastAsia="方正仿宋_GBK" w:hAnsi="方正仿宋_GBK" w:cs="方正仿宋_GBK"/>
      <w:color w:val="000000"/>
      <w:sz w:val="22"/>
      <w:szCs w:val="22"/>
      <w:u w:val="none"/>
    </w:rPr>
  </w:style>
  <w:style w:type="character" w:customStyle="1" w:styleId="font21">
    <w:name w:val="font21"/>
    <w:basedOn w:val="a2"/>
    <w:rPr>
      <w:rFonts w:ascii="Times New Roman" w:hAnsi="Times New Roman" w:cs="Times New Roman" w:hint="default"/>
      <w:color w:val="000000"/>
      <w:sz w:val="20"/>
      <w:szCs w:val="20"/>
      <w:u w:val="none"/>
    </w:rPr>
  </w:style>
  <w:style w:type="character" w:customStyle="1" w:styleId="font31">
    <w:name w:val="font31"/>
    <w:basedOn w:val="a2"/>
    <w:rPr>
      <w:rFonts w:ascii="宋体" w:eastAsia="宋体" w:hAnsi="宋体" w:cs="宋体" w:hint="eastAsia"/>
      <w:color w:val="000000"/>
      <w:sz w:val="20"/>
      <w:szCs w:val="20"/>
      <w:u w:val="none"/>
    </w:rPr>
  </w:style>
  <w:style w:type="character" w:customStyle="1" w:styleId="font61">
    <w:name w:val="font61"/>
    <w:basedOn w:val="a2"/>
    <w:rPr>
      <w:rFonts w:ascii="方正仿宋_GBK" w:eastAsia="方正仿宋_GBK" w:hAnsi="方正仿宋_GBK" w:cs="方正仿宋_GBK"/>
      <w:b/>
      <w:color w:val="000000"/>
      <w:sz w:val="22"/>
      <w:szCs w:val="22"/>
      <w:u w:val="none"/>
    </w:rPr>
  </w:style>
  <w:style w:type="character" w:customStyle="1" w:styleId="font51">
    <w:name w:val="font51"/>
    <w:basedOn w:val="a2"/>
    <w:qFormat/>
    <w:rPr>
      <w:rFonts w:ascii="方正仿宋_GBK" w:eastAsia="方正仿宋_GBK" w:hAnsi="方正仿宋_GBK" w:cs="方正仿宋_GBK" w:hint="eastAsia"/>
      <w:color w:val="000000"/>
      <w:sz w:val="20"/>
      <w:szCs w:val="20"/>
      <w:u w:val="none"/>
    </w:rPr>
  </w:style>
  <w:style w:type="paragraph" w:customStyle="1" w:styleId="Bodytext1">
    <w:name w:val="Body text|1"/>
    <w:basedOn w:val="a0"/>
    <w:pPr>
      <w:spacing w:line="350" w:lineRule="auto"/>
      <w:ind w:firstLineChars="0" w:firstLine="400"/>
    </w:pPr>
    <w:rPr>
      <w:rFonts w:ascii="宋体" w:eastAsia="宋体" w:hAnsi="宋体"/>
      <w:sz w:val="20"/>
      <w:szCs w:val="20"/>
      <w:lang w:val="zh-TW" w:eastAsia="zh-TW" w:bidi="zh-TW"/>
    </w:rPr>
  </w:style>
  <w:style w:type="character" w:customStyle="1" w:styleId="Char10">
    <w:name w:val="纯文本 Char1"/>
    <w:basedOn w:val="a2"/>
    <w:uiPriority w:val="99"/>
    <w:semiHidden/>
    <w:rPr>
      <w:rFonts w:ascii="宋体" w:eastAsia="宋体" w:hAnsi="Courier New" w:cs="Courier New"/>
      <w:kern w:val="2"/>
      <w:sz w:val="21"/>
      <w:szCs w:val="21"/>
    </w:rPr>
  </w:style>
  <w:style w:type="table" w:customStyle="1" w:styleId="27">
    <w:name w:val="网格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uiPriority w:val="59"/>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修订2"/>
    <w:uiPriority w:val="99"/>
    <w:semiHidden/>
    <w:qFormat/>
    <w:rPr>
      <w:rFonts w:ascii="Times New Roman" w:eastAsia="宋体" w:hAnsi="Times New Roman" w:cs="Times New Roman"/>
      <w:kern w:val="2"/>
      <w:sz w:val="21"/>
      <w:szCs w:val="22"/>
    </w:rPr>
  </w:style>
  <w:style w:type="table" w:customStyle="1" w:styleId="120">
    <w:name w:val="网格型12"/>
    <w:basedOn w:val="a3"/>
    <w:uiPriority w:val="59"/>
    <w:qFormat/>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3"/>
    <w:qFormat/>
    <w:pPr>
      <w:widowControl w:val="0"/>
      <w:jc w:val="both"/>
    </w:pPr>
    <w:tblPr>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
    <w:trPr>
      <w:jc w:val="center"/>
    </w:trPr>
  </w:style>
  <w:style w:type="paragraph" w:customStyle="1" w:styleId="affff1">
    <w:name w:val="封皮一行"/>
    <w:basedOn w:val="a0"/>
    <w:link w:val="affff2"/>
    <w:pPr>
      <w:adjustRightInd w:val="0"/>
      <w:ind w:firstLineChars="0" w:firstLine="0"/>
      <w:textAlignment w:val="baseline"/>
    </w:pPr>
    <w:rPr>
      <w:rFonts w:ascii="黑体" w:eastAsia="黑体" w:hAnsi="黑体" w:cs="Times New Roman"/>
      <w:snapToGrid w:val="0"/>
      <w:kern w:val="0"/>
      <w:sz w:val="28"/>
    </w:rPr>
  </w:style>
  <w:style w:type="paragraph" w:customStyle="1" w:styleId="29">
    <w:name w:val="封皮2行"/>
    <w:basedOn w:val="a0"/>
    <w:link w:val="2a"/>
    <w:qFormat/>
    <w:pPr>
      <w:snapToGrid w:val="0"/>
      <w:spacing w:beforeLines="50" w:before="50" w:afterLines="50" w:after="50" w:line="480" w:lineRule="exact"/>
      <w:ind w:firstLineChars="0" w:firstLine="0"/>
      <w:jc w:val="center"/>
    </w:pPr>
    <w:rPr>
      <w:rFonts w:eastAsia="黑体" w:cs="Times New Roman"/>
      <w:sz w:val="44"/>
      <w:szCs w:val="44"/>
    </w:rPr>
  </w:style>
  <w:style w:type="character" w:customStyle="1" w:styleId="affff2">
    <w:name w:val="封皮一行 字符"/>
    <w:basedOn w:val="a2"/>
    <w:link w:val="affff1"/>
    <w:qFormat/>
    <w:rPr>
      <w:rFonts w:ascii="黑体" w:eastAsia="黑体" w:hAnsi="黑体" w:cs="Times New Roman"/>
      <w:snapToGrid w:val="0"/>
      <w:sz w:val="28"/>
      <w:szCs w:val="28"/>
    </w:rPr>
  </w:style>
  <w:style w:type="paragraph" w:customStyle="1" w:styleId="affff3">
    <w:name w:val="封皮三四行"/>
    <w:basedOn w:val="a0"/>
    <w:link w:val="affff4"/>
    <w:pPr>
      <w:spacing w:line="480" w:lineRule="exact"/>
      <w:ind w:firstLineChars="0" w:firstLine="0"/>
      <w:jc w:val="center"/>
    </w:pPr>
    <w:rPr>
      <w:rFonts w:ascii="楷体" w:eastAsia="楷体" w:hAnsi="楷体" w:cs="Times New Roman"/>
      <w:snapToGrid w:val="0"/>
      <w:kern w:val="0"/>
      <w:szCs w:val="30"/>
    </w:rPr>
  </w:style>
  <w:style w:type="character" w:customStyle="1" w:styleId="2a">
    <w:name w:val="封皮2行 字符"/>
    <w:basedOn w:val="a2"/>
    <w:link w:val="29"/>
    <w:qFormat/>
    <w:rPr>
      <w:rFonts w:ascii="Times New Roman" w:eastAsia="黑体" w:hAnsi="Times New Roman" w:cs="Times New Roman"/>
      <w:kern w:val="2"/>
      <w:sz w:val="44"/>
      <w:szCs w:val="44"/>
    </w:rPr>
  </w:style>
  <w:style w:type="paragraph" w:customStyle="1" w:styleId="affff5">
    <w:name w:val="摘要首行"/>
    <w:basedOn w:val="a0"/>
    <w:link w:val="affff6"/>
    <w:pPr>
      <w:snapToGrid w:val="0"/>
      <w:spacing w:beforeLines="50" w:before="50" w:afterLines="50" w:after="50" w:line="240" w:lineRule="auto"/>
      <w:ind w:firstLineChars="0" w:firstLine="0"/>
      <w:jc w:val="center"/>
    </w:pPr>
    <w:rPr>
      <w:rFonts w:eastAsia="黑体" w:cs="Times New Roman"/>
      <w:sz w:val="36"/>
      <w:szCs w:val="36"/>
    </w:rPr>
  </w:style>
  <w:style w:type="character" w:customStyle="1" w:styleId="affff4">
    <w:name w:val="封皮三四行 字符"/>
    <w:basedOn w:val="a2"/>
    <w:link w:val="affff3"/>
    <w:qFormat/>
    <w:rPr>
      <w:rFonts w:ascii="楷体" w:eastAsia="楷体" w:hAnsi="楷体" w:cs="Times New Roman"/>
      <w:snapToGrid w:val="0"/>
      <w:sz w:val="30"/>
      <w:szCs w:val="30"/>
    </w:rPr>
  </w:style>
  <w:style w:type="paragraph" w:customStyle="1" w:styleId="affff7">
    <w:name w:val="摘要二行"/>
    <w:basedOn w:val="a0"/>
    <w:link w:val="affff8"/>
    <w:qFormat/>
    <w:pPr>
      <w:adjustRightInd w:val="0"/>
      <w:spacing w:line="480" w:lineRule="exact"/>
      <w:ind w:firstLine="200"/>
      <w:jc w:val="center"/>
    </w:pPr>
    <w:rPr>
      <w:rFonts w:eastAsia="黑体" w:cs="Times New Roman"/>
      <w:b/>
      <w:bCs/>
      <w:kern w:val="0"/>
      <w:sz w:val="24"/>
      <w:szCs w:val="24"/>
    </w:rPr>
  </w:style>
  <w:style w:type="character" w:customStyle="1" w:styleId="affff6">
    <w:name w:val="摘要首行 字符"/>
    <w:basedOn w:val="a2"/>
    <w:link w:val="affff5"/>
    <w:qFormat/>
    <w:rPr>
      <w:rFonts w:ascii="Times New Roman" w:eastAsia="黑体" w:hAnsi="Times New Roman" w:cs="Times New Roman"/>
      <w:kern w:val="2"/>
      <w:sz w:val="36"/>
      <w:szCs w:val="36"/>
    </w:rPr>
  </w:style>
  <w:style w:type="paragraph" w:customStyle="1" w:styleId="affff9">
    <w:name w:val="摘要正文"/>
    <w:basedOn w:val="a0"/>
    <w:link w:val="affffa"/>
    <w:pPr>
      <w:adjustRightInd w:val="0"/>
      <w:spacing w:line="480" w:lineRule="exact"/>
      <w:ind w:firstLine="480"/>
    </w:pPr>
    <w:rPr>
      <w:rFonts w:eastAsia="楷体_GB2312" w:cs="Times New Roman"/>
      <w:kern w:val="0"/>
      <w:sz w:val="24"/>
      <w:szCs w:val="24"/>
    </w:rPr>
  </w:style>
  <w:style w:type="character" w:customStyle="1" w:styleId="affff8">
    <w:name w:val="摘要二行 字符"/>
    <w:basedOn w:val="a2"/>
    <w:link w:val="affff7"/>
    <w:qFormat/>
    <w:rPr>
      <w:rFonts w:ascii="Times New Roman" w:eastAsia="黑体" w:hAnsi="Times New Roman" w:cs="Times New Roman"/>
      <w:b/>
      <w:bCs/>
      <w:sz w:val="24"/>
      <w:szCs w:val="24"/>
    </w:rPr>
  </w:style>
  <w:style w:type="paragraph" w:customStyle="1" w:styleId="affffb">
    <w:name w:val="表头"/>
    <w:basedOn w:val="a0"/>
    <w:link w:val="affffc"/>
    <w:pPr>
      <w:spacing w:line="300" w:lineRule="auto"/>
      <w:ind w:firstLineChars="0" w:firstLine="0"/>
      <w:jc w:val="center"/>
    </w:pPr>
    <w:rPr>
      <w:rFonts w:eastAsia="宋体" w:cs="Times New Roman"/>
      <w:b/>
      <w:sz w:val="21"/>
      <w:szCs w:val="24"/>
      <w:lang w:val="zh-CN"/>
    </w:rPr>
  </w:style>
  <w:style w:type="character" w:customStyle="1" w:styleId="affffa">
    <w:name w:val="摘要正文 字符"/>
    <w:basedOn w:val="a2"/>
    <w:link w:val="affff9"/>
    <w:qFormat/>
    <w:rPr>
      <w:rFonts w:ascii="Times New Roman" w:eastAsia="楷体_GB2312" w:hAnsi="Times New Roman" w:cs="Times New Roman"/>
      <w:sz w:val="24"/>
      <w:szCs w:val="24"/>
    </w:rPr>
  </w:style>
  <w:style w:type="paragraph" w:customStyle="1" w:styleId="affffd">
    <w:name w:val="表内"/>
    <w:basedOn w:val="a0"/>
    <w:link w:val="affffe"/>
    <w:pPr>
      <w:adjustRightInd w:val="0"/>
      <w:snapToGrid w:val="0"/>
      <w:spacing w:line="300" w:lineRule="auto"/>
      <w:ind w:firstLineChars="0" w:firstLine="0"/>
      <w:jc w:val="center"/>
    </w:pPr>
    <w:rPr>
      <w:rFonts w:ascii="宋体" w:eastAsia="宋体" w:hAnsi="宋体"/>
      <w:sz w:val="21"/>
      <w:szCs w:val="24"/>
    </w:rPr>
  </w:style>
  <w:style w:type="character" w:customStyle="1" w:styleId="affffc">
    <w:name w:val="表头 字符"/>
    <w:basedOn w:val="a2"/>
    <w:link w:val="affffb"/>
    <w:qFormat/>
    <w:rPr>
      <w:rFonts w:ascii="Times New Roman" w:eastAsia="宋体" w:hAnsi="Times New Roman" w:cs="Times New Roman"/>
      <w:b/>
      <w:kern w:val="2"/>
      <w:sz w:val="21"/>
      <w:szCs w:val="24"/>
      <w:lang w:val="zh-CN"/>
    </w:rPr>
  </w:style>
  <w:style w:type="paragraph" w:customStyle="1" w:styleId="afffff">
    <w:name w:val="数据来源"/>
    <w:basedOn w:val="a0"/>
    <w:link w:val="afffff0"/>
    <w:pPr>
      <w:adjustRightInd w:val="0"/>
      <w:snapToGrid w:val="0"/>
      <w:spacing w:line="300" w:lineRule="auto"/>
      <w:ind w:firstLineChars="0" w:firstLine="0"/>
    </w:pPr>
    <w:rPr>
      <w:rFonts w:eastAsia="楷体" w:cs="Times New Roman"/>
      <w:sz w:val="21"/>
      <w:szCs w:val="24"/>
    </w:rPr>
  </w:style>
  <w:style w:type="character" w:customStyle="1" w:styleId="affffe">
    <w:name w:val="表内 字符"/>
    <w:basedOn w:val="a2"/>
    <w:link w:val="affffd"/>
    <w:qFormat/>
    <w:rPr>
      <w:rFonts w:ascii="宋体" w:eastAsia="宋体" w:hAnsi="宋体" w:cs="宋体"/>
      <w:kern w:val="2"/>
      <w:sz w:val="21"/>
      <w:szCs w:val="24"/>
    </w:rPr>
  </w:style>
  <w:style w:type="paragraph" w:customStyle="1" w:styleId="afffff1">
    <w:name w:val="图片"/>
    <w:basedOn w:val="a0"/>
    <w:link w:val="afffff2"/>
    <w:qFormat/>
    <w:pPr>
      <w:widowControl/>
      <w:shd w:val="clear" w:color="auto" w:fill="FFFFFF"/>
      <w:adjustRightInd w:val="0"/>
      <w:snapToGrid w:val="0"/>
      <w:spacing w:line="300" w:lineRule="auto"/>
      <w:ind w:firstLineChars="0" w:firstLine="0"/>
      <w:jc w:val="center"/>
    </w:pPr>
    <w:rPr>
      <w:rFonts w:eastAsia="方正楷体_GBK" w:cs="Times New Roman"/>
      <w:sz w:val="24"/>
      <w:szCs w:val="24"/>
    </w:rPr>
  </w:style>
  <w:style w:type="character" w:customStyle="1" w:styleId="afffff0">
    <w:name w:val="数据来源 字符"/>
    <w:basedOn w:val="a2"/>
    <w:link w:val="afffff"/>
    <w:qFormat/>
    <w:rPr>
      <w:rFonts w:ascii="Times New Roman" w:eastAsia="楷体" w:hAnsi="Times New Roman" w:cs="Times New Roman"/>
      <w:kern w:val="2"/>
      <w:sz w:val="21"/>
      <w:szCs w:val="24"/>
    </w:rPr>
  </w:style>
  <w:style w:type="character" w:customStyle="1" w:styleId="afffff2">
    <w:name w:val="图片 字符"/>
    <w:basedOn w:val="a2"/>
    <w:link w:val="afffff1"/>
    <w:qFormat/>
    <w:rPr>
      <w:rFonts w:ascii="Times New Roman" w:eastAsia="方正楷体_GBK" w:hAnsi="Times New Roman" w:cs="Times New Roman"/>
      <w:kern w:val="2"/>
      <w:sz w:val="24"/>
      <w:szCs w:val="24"/>
      <w:shd w:val="clear" w:color="auto" w:fill="FFFFFF"/>
    </w:rPr>
  </w:style>
  <w:style w:type="paragraph" w:customStyle="1" w:styleId="afffff3">
    <w:name w:val="参考文献头"/>
    <w:basedOn w:val="a0"/>
    <w:link w:val="afffff4"/>
    <w:pPr>
      <w:spacing w:beforeLines="100" w:before="100" w:afterLines="100" w:after="100" w:line="240" w:lineRule="auto"/>
      <w:ind w:firstLineChars="0" w:firstLine="0"/>
      <w:jc w:val="center"/>
    </w:pPr>
    <w:rPr>
      <w:rFonts w:ascii="黑体" w:eastAsia="黑体" w:hAnsi="黑体" w:cs="Times New Roman"/>
      <w:kern w:val="0"/>
      <w:sz w:val="24"/>
      <w:szCs w:val="24"/>
    </w:rPr>
  </w:style>
  <w:style w:type="paragraph" w:customStyle="1" w:styleId="afffff5">
    <w:name w:val="专栏正文"/>
    <w:basedOn w:val="a9"/>
    <w:link w:val="afffff6"/>
    <w:qFormat/>
    <w:pPr>
      <w:adjustRightInd w:val="0"/>
      <w:snapToGrid w:val="0"/>
      <w:spacing w:after="0" w:line="300" w:lineRule="auto"/>
      <w:ind w:firstLine="200"/>
    </w:pPr>
    <w:rPr>
      <w:rFonts w:ascii="方正楷体_GBK" w:eastAsia="方正楷体_GBK" w:hAnsi="方正楷体_GBK" w:cs="方正楷体_GBK"/>
    </w:rPr>
  </w:style>
  <w:style w:type="character" w:customStyle="1" w:styleId="afffff4">
    <w:name w:val="参考文献头 字符"/>
    <w:basedOn w:val="a2"/>
    <w:link w:val="afffff3"/>
    <w:qFormat/>
    <w:rPr>
      <w:rFonts w:ascii="黑体" w:eastAsia="黑体" w:hAnsi="黑体" w:cs="Times New Roman"/>
      <w:sz w:val="24"/>
      <w:szCs w:val="24"/>
    </w:rPr>
  </w:style>
  <w:style w:type="paragraph" w:customStyle="1" w:styleId="afffff7">
    <w:name w:val="专栏标题"/>
    <w:basedOn w:val="afffff5"/>
    <w:link w:val="afffff8"/>
    <w:qFormat/>
    <w:pPr>
      <w:spacing w:beforeLines="50" w:before="50"/>
      <w:ind w:firstLineChars="0" w:firstLine="0"/>
      <w:jc w:val="center"/>
    </w:pPr>
  </w:style>
  <w:style w:type="character" w:customStyle="1" w:styleId="afffff6">
    <w:name w:val="专栏正文 字符"/>
    <w:basedOn w:val="aa"/>
    <w:link w:val="afffff5"/>
    <w:qFormat/>
    <w:rPr>
      <w:rFonts w:ascii="方正楷体_GBK" w:eastAsia="方正楷体_GBK" w:hAnsi="方正楷体_GBK" w:cs="方正楷体_GBK"/>
      <w:kern w:val="2"/>
      <w:sz w:val="24"/>
      <w:szCs w:val="24"/>
    </w:rPr>
  </w:style>
  <w:style w:type="character" w:customStyle="1" w:styleId="afffff8">
    <w:name w:val="专栏标题 字符"/>
    <w:basedOn w:val="afffff6"/>
    <w:link w:val="afffff7"/>
    <w:qFormat/>
    <w:rPr>
      <w:rFonts w:ascii="方正楷体_GBK" w:eastAsia="方正楷体_GBK" w:hAnsi="方正楷体_GBK" w:cs="方正楷体_GBK"/>
      <w:kern w:val="2"/>
      <w:sz w:val="24"/>
      <w:szCs w:val="24"/>
    </w:rPr>
  </w:style>
  <w:style w:type="paragraph" w:customStyle="1" w:styleId="afffff9">
    <w:name w:val="参考文献正文"/>
    <w:basedOn w:val="a0"/>
    <w:link w:val="afffffa"/>
    <w:qFormat/>
    <w:pPr>
      <w:adjustRightInd w:val="0"/>
      <w:snapToGrid w:val="0"/>
      <w:spacing w:line="240" w:lineRule="auto"/>
      <w:ind w:left="340" w:hanging="340"/>
    </w:pPr>
    <w:rPr>
      <w:rFonts w:eastAsia="宋体" w:cs="Times New Roman"/>
      <w:sz w:val="24"/>
      <w:szCs w:val="30"/>
    </w:rPr>
  </w:style>
  <w:style w:type="character" w:customStyle="1" w:styleId="afffffa">
    <w:name w:val="参考文献正文 字符"/>
    <w:basedOn w:val="a2"/>
    <w:link w:val="afffff9"/>
    <w:qFormat/>
    <w:rPr>
      <w:rFonts w:ascii="Times New Roman" w:eastAsia="宋体" w:hAnsi="Times New Roman" w:cs="Times New Roman"/>
      <w:kern w:val="2"/>
      <w:sz w:val="24"/>
      <w:szCs w:val="30"/>
    </w:rPr>
  </w:style>
  <w:style w:type="paragraph" w:customStyle="1" w:styleId="TOC30">
    <w:name w:val="TOC 标题3"/>
    <w:basedOn w:val="1"/>
    <w:next w:val="a0"/>
    <w:uiPriority w:val="39"/>
    <w:unhideWhenUsed/>
    <w:qFormat/>
    <w:pPr>
      <w:widowControl/>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customStyle="1" w:styleId="1c">
    <w:name w:val="正文1"/>
    <w:basedOn w:val="a0"/>
    <w:link w:val="1d"/>
    <w:qFormat/>
    <w:pPr>
      <w:spacing w:line="640" w:lineRule="exact"/>
    </w:pPr>
    <w:rPr>
      <w:sz w:val="36"/>
    </w:rPr>
  </w:style>
  <w:style w:type="character" w:customStyle="1" w:styleId="afffffb">
    <w:name w:val="文中强调 字符"/>
    <w:basedOn w:val="1d"/>
    <w:link w:val="afffffc"/>
    <w:qFormat/>
    <w:rPr>
      <w:rFonts w:ascii="方正黑体_GBK" w:eastAsia="方正黑体_GBK" w:hAnsi="黑体"/>
      <w:color w:val="000000" w:themeColor="text1"/>
      <w:sz w:val="36"/>
    </w:rPr>
  </w:style>
  <w:style w:type="character" w:customStyle="1" w:styleId="1d">
    <w:name w:val="正文1 字符"/>
    <w:basedOn w:val="a2"/>
    <w:link w:val="1c"/>
    <w:qFormat/>
    <w:rPr>
      <w:rFonts w:eastAsia="方正仿宋_GBK"/>
      <w:sz w:val="36"/>
    </w:rPr>
  </w:style>
  <w:style w:type="paragraph" w:customStyle="1" w:styleId="afffffc">
    <w:name w:val="文中强调"/>
    <w:basedOn w:val="1c"/>
    <w:link w:val="afffffb"/>
    <w:rPr>
      <w:rFonts w:ascii="方正黑体_GBK" w:eastAsia="方正黑体_GBK" w:hAnsi="黑体"/>
      <w:color w:val="000000" w:themeColor="text1"/>
    </w:rPr>
  </w:style>
  <w:style w:type="paragraph" w:customStyle="1" w:styleId="afffffd">
    <w:name w:val="表标题"/>
    <w:basedOn w:val="a0"/>
    <w:qFormat/>
    <w:pPr>
      <w:widowControl/>
      <w:spacing w:beforeLines="50" w:before="50"/>
      <w:jc w:val="center"/>
      <w:outlineLvl w:val="3"/>
    </w:pPr>
    <w:rPr>
      <w:rFonts w:ascii="黑体" w:eastAsia="黑体"/>
      <w:bCs/>
      <w:kern w:val="0"/>
      <w:sz w:val="28"/>
    </w:rPr>
  </w:style>
  <w:style w:type="paragraph" w:customStyle="1" w:styleId="43">
    <w:name w:val="4.图标题"/>
    <w:basedOn w:val="a0"/>
    <w:qFormat/>
    <w:pPr>
      <w:adjustRightInd w:val="0"/>
      <w:spacing w:line="300" w:lineRule="auto"/>
      <w:jc w:val="center"/>
    </w:pPr>
    <w:rPr>
      <w:rFonts w:eastAsia="宋体" w:hAnsi="宋体" w:cs="Times New Roman"/>
      <w:b/>
      <w:kern w:val="0"/>
      <w:szCs w:val="21"/>
      <w:lang w:val="zh-CN"/>
    </w:rPr>
  </w:style>
  <w:style w:type="table" w:customStyle="1" w:styleId="61">
    <w:name w:val="网格表 6 彩色1"/>
    <w:basedOn w:val="a3"/>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ffe">
    <w:name w:val="图表标题"/>
    <w:basedOn w:val="afff"/>
    <w:qFormat/>
    <w:pPr>
      <w:spacing w:afterLines="50" w:after="50"/>
      <w:ind w:firstLineChars="0" w:firstLine="0"/>
      <w:jc w:val="center"/>
    </w:pPr>
    <w:rPr>
      <w:rFonts w:eastAsia="黑体"/>
      <w:sz w:val="28"/>
    </w:rPr>
  </w:style>
  <w:style w:type="paragraph" w:customStyle="1" w:styleId="affffff">
    <w:name w:val="图下标"/>
    <w:basedOn w:val="a0"/>
    <w:qFormat/>
    <w:pPr>
      <w:ind w:firstLine="560"/>
      <w:jc w:val="center"/>
    </w:pPr>
    <w:rPr>
      <w:b/>
      <w:bCs/>
      <w:sz w:val="21"/>
    </w:rPr>
  </w:style>
  <w:style w:type="paragraph" w:customStyle="1" w:styleId="affffff0">
    <w:name w:val="图例"/>
    <w:basedOn w:val="a0"/>
    <w:pPr>
      <w:ind w:firstLineChars="0" w:firstLine="0"/>
      <w:jc w:val="center"/>
    </w:pPr>
    <w:rPr>
      <w:rFonts w:eastAsia="黑体"/>
      <w:sz w:val="28"/>
      <w:szCs w:val="32"/>
    </w:rPr>
  </w:style>
  <w:style w:type="paragraph" w:customStyle="1" w:styleId="affffff1">
    <w:name w:val="表内容"/>
    <w:basedOn w:val="a0"/>
    <w:qFormat/>
    <w:pPr>
      <w:ind w:firstLineChars="0" w:firstLine="0"/>
      <w:jc w:val="center"/>
    </w:pPr>
    <w:rPr>
      <w:sz w:val="21"/>
    </w:r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ff2">
    <w:name w:val="附内"/>
    <w:basedOn w:val="affffff3"/>
    <w:qFormat/>
    <w:pPr>
      <w:spacing w:line="400" w:lineRule="exact"/>
      <w:jc w:val="left"/>
    </w:pPr>
    <w:rPr>
      <w:b w:val="0"/>
      <w:bCs w:val="0"/>
      <w:sz w:val="24"/>
      <w:szCs w:val="24"/>
    </w:rPr>
  </w:style>
  <w:style w:type="paragraph" w:customStyle="1" w:styleId="affffff3">
    <w:name w:val="附件"/>
    <w:basedOn w:val="a0"/>
    <w:rPr>
      <w:rFonts w:ascii="Calibri" w:hAnsi="Calibri"/>
      <w:b/>
      <w:bCs/>
      <w:sz w:val="28"/>
    </w:rPr>
  </w:style>
  <w:style w:type="table" w:customStyle="1" w:styleId="1-31">
    <w:name w:val="网格表 1 浅色 - 着色 31"/>
    <w:basedOn w:val="a3"/>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51">
    <w:name w:val="网格型5"/>
    <w:basedOn w:val="a3"/>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未处理的提及2"/>
    <w:basedOn w:val="a2"/>
    <w:uiPriority w:val="99"/>
    <w:semiHidden/>
    <w:unhideWhenUsed/>
    <w:rPr>
      <w:color w:val="605E5C"/>
      <w:shd w:val="clear" w:color="auto" w:fill="E1DFDD"/>
    </w:rPr>
  </w:style>
  <w:style w:type="paragraph" w:customStyle="1" w:styleId="affffff4">
    <w:name w:val="脚注格式"/>
    <w:basedOn w:val="a0"/>
    <w:link w:val="Chard"/>
    <w:qFormat/>
    <w:pPr>
      <w:snapToGrid w:val="0"/>
      <w:spacing w:line="276" w:lineRule="auto"/>
      <w:ind w:left="357" w:hangingChars="170" w:hanging="357"/>
      <w:jc w:val="left"/>
    </w:pPr>
    <w:rPr>
      <w:rFonts w:eastAsia="宋体" w:cs="Times New Roman"/>
      <w:sz w:val="21"/>
      <w:szCs w:val="21"/>
    </w:rPr>
  </w:style>
  <w:style w:type="character" w:customStyle="1" w:styleId="Chard">
    <w:name w:val="脚注格式 Char"/>
    <w:basedOn w:val="a2"/>
    <w:link w:val="affffff4"/>
    <w:qFormat/>
    <w:rPr>
      <w:rFonts w:ascii="Times New Roman" w:eastAsia="宋体" w:hAnsi="Times New Roman" w:cs="Times New Roman"/>
      <w:kern w:val="2"/>
      <w:sz w:val="21"/>
      <w:szCs w:val="21"/>
    </w:rPr>
  </w:style>
  <w:style w:type="table" w:customStyle="1" w:styleId="62">
    <w:name w:val="网格型6"/>
    <w:basedOn w:val="a3"/>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网格表 1 浅色 - 着色 311"/>
    <w:basedOn w:val="a3"/>
    <w:uiPriority w:val="46"/>
    <w:qFormat/>
    <w:rPr>
      <w:rFonts w:ascii="Times New Roman" w:eastAsia="宋体" w:hAnsi="Times New Roman" w:cs="Times New Roman"/>
    </w:r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7">
    <w:name w:val="网格型7"/>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表 3 - 着色 511"/>
    <w:basedOn w:val="a3"/>
    <w:uiPriority w:val="48"/>
    <w:qFormat/>
    <w:rPr>
      <w:rFonts w:ascii="Times New Roman" w:eastAsia="宋体" w:hAnsi="Times New Roman" w:cs="Times New Roman"/>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11">
    <w:name w:val="无格式表格 311"/>
    <w:basedOn w:val="a3"/>
    <w:uiPriority w:val="43"/>
    <w:qFormat/>
    <w:rPr>
      <w:rFonts w:ascii="Times New Roman" w:eastAsia="宋体" w:hAnsi="Times New Roma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611">
    <w:name w:val="网格表 3 - 着色 611"/>
    <w:basedOn w:val="a3"/>
    <w:uiPriority w:val="48"/>
    <w:qFormat/>
    <w:rPr>
      <w:rFonts w:ascii="Times New Roman" w:eastAsia="宋体" w:hAnsi="Times New Roman" w:cs="Times New Roman"/>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3-211">
    <w:name w:val="网格表 3 - 着色 211"/>
    <w:basedOn w:val="a3"/>
    <w:uiPriority w:val="48"/>
    <w:qFormat/>
    <w:rPr>
      <w:rFonts w:ascii="Times New Roman" w:eastAsia="宋体" w:hAnsi="Times New Roman" w:cs="Times New Roman"/>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21">
    <w:name w:val="无格式表格 321"/>
    <w:basedOn w:val="a3"/>
    <w:uiPriority w:val="43"/>
    <w:qFormat/>
    <w:rPr>
      <w:rFonts w:ascii="Times New Roman" w:eastAsia="宋体" w:hAnsi="Times New Roma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3-521">
    <w:name w:val="网格表 3 - 着色 521"/>
    <w:basedOn w:val="a3"/>
    <w:uiPriority w:val="48"/>
    <w:qFormat/>
    <w:rPr>
      <w:rFonts w:ascii="Times New Roman" w:eastAsia="宋体" w:hAnsi="Times New Roman" w:cs="Times New Roman"/>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130">
    <w:name w:val="网格型13"/>
    <w:basedOn w:val="a3"/>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211">
    <w:name w:val="网格型2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3"/>
    <w:uiPriority w:val="59"/>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无格式表格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fffff5">
    <w:name w:val="公式"/>
    <w:basedOn w:val="a0"/>
    <w:link w:val="Chare"/>
    <w:qFormat/>
    <w:pPr>
      <w:snapToGrid w:val="0"/>
      <w:spacing w:beforeLines="50" w:before="120" w:afterLines="50" w:after="120" w:line="240" w:lineRule="auto"/>
      <w:ind w:firstLineChars="0" w:firstLine="0"/>
      <w:jc w:val="center"/>
    </w:pPr>
    <w:rPr>
      <w:rFonts w:eastAsia="宋体" w:cs="Times New Roman"/>
      <w:sz w:val="24"/>
      <w:szCs w:val="24"/>
    </w:rPr>
  </w:style>
  <w:style w:type="character" w:customStyle="1" w:styleId="Chare">
    <w:name w:val="公式 Char"/>
    <w:basedOn w:val="a2"/>
    <w:link w:val="affffff5"/>
    <w:qFormat/>
    <w:rPr>
      <w:rFonts w:ascii="Times New Roman" w:eastAsia="宋体" w:hAnsi="Times New Roman" w:cs="Times New Roman"/>
      <w:kern w:val="2"/>
      <w:sz w:val="24"/>
      <w:szCs w:val="24"/>
    </w:rPr>
  </w:style>
  <w:style w:type="paragraph" w:customStyle="1" w:styleId="TOC40">
    <w:name w:val="TOC 标题4"/>
    <w:basedOn w:val="1"/>
    <w:next w:val="a0"/>
    <w:uiPriority w:val="39"/>
    <w:unhideWhenUsed/>
    <w:qFormat/>
    <w:pPr>
      <w:keepNext/>
      <w:keepLines/>
      <w:widowControl/>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25968;&#23383;&#32463;&#27982;&#23601;&#19994;\&#25968;&#23383;&#32463;&#27982;&#23601;&#19994;\&#21508;&#34892;&#19994;&#24179;&#22343;&#24037;&#36164;.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635496439607693E-2"/>
          <c:y val="6.0109289617486301E-2"/>
          <c:w val="0.87980652962515105"/>
          <c:h val="0.66568306010929001"/>
        </c:manualLayout>
      </c:layout>
      <c:lineChart>
        <c:grouping val="standard"/>
        <c:varyColors val="0"/>
        <c:ser>
          <c:idx val="1"/>
          <c:order val="1"/>
          <c:tx>
            <c:strRef>
              <c:f>[工作簿1]Sheet1!$B$1</c:f>
              <c:strCache>
                <c:ptCount val="1"/>
                <c:pt idx="0">
                  <c:v>一产</c:v>
                </c:pt>
              </c:strCache>
            </c:strRef>
          </c:tx>
          <c:spPr>
            <a:ln w="28575" cap="rnd">
              <a:solidFill>
                <a:srgbClr val="ED7D31"/>
              </a:solidFill>
              <a:round/>
            </a:ln>
            <a:effectLst/>
          </c:spPr>
          <c:marker>
            <c:symbol val="none"/>
          </c:marker>
          <c:cat>
            <c:numRef>
              <c:f>[工作簿1]Sheet1!$A$2:$A$43</c:f>
              <c:numCache>
                <c:formatCode>@</c:formatCode>
                <c:ptCount val="42"/>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pt idx="35">
                  <c:v>2013</c:v>
                </c:pt>
                <c:pt idx="36">
                  <c:v>2014</c:v>
                </c:pt>
                <c:pt idx="37">
                  <c:v>2015</c:v>
                </c:pt>
                <c:pt idx="38">
                  <c:v>2016</c:v>
                </c:pt>
                <c:pt idx="39">
                  <c:v>2017</c:v>
                </c:pt>
                <c:pt idx="40">
                  <c:v>2018</c:v>
                </c:pt>
                <c:pt idx="41">
                  <c:v>2019</c:v>
                </c:pt>
              </c:numCache>
            </c:numRef>
          </c:cat>
          <c:val>
            <c:numRef>
              <c:f>[工作簿1]Sheet1!$B$2:$B$43</c:f>
              <c:numCache>
                <c:formatCode>0.00_ </c:formatCode>
                <c:ptCount val="42"/>
                <c:pt idx="0">
                  <c:v>70.5</c:v>
                </c:pt>
                <c:pt idx="1">
                  <c:v>69.8</c:v>
                </c:pt>
                <c:pt idx="2">
                  <c:v>68.7</c:v>
                </c:pt>
                <c:pt idx="3">
                  <c:v>68.099999999999994</c:v>
                </c:pt>
                <c:pt idx="4">
                  <c:v>68.099999999999994</c:v>
                </c:pt>
                <c:pt idx="5">
                  <c:v>67.099999999999994</c:v>
                </c:pt>
                <c:pt idx="6">
                  <c:v>64</c:v>
                </c:pt>
                <c:pt idx="7">
                  <c:v>62.4</c:v>
                </c:pt>
                <c:pt idx="8">
                  <c:v>60.9</c:v>
                </c:pt>
                <c:pt idx="9">
                  <c:v>60</c:v>
                </c:pt>
                <c:pt idx="10">
                  <c:v>59.3</c:v>
                </c:pt>
                <c:pt idx="11">
                  <c:v>60.1</c:v>
                </c:pt>
                <c:pt idx="12">
                  <c:v>60.1</c:v>
                </c:pt>
                <c:pt idx="13">
                  <c:v>59.7</c:v>
                </c:pt>
                <c:pt idx="14">
                  <c:v>58.5</c:v>
                </c:pt>
                <c:pt idx="15">
                  <c:v>56.4</c:v>
                </c:pt>
                <c:pt idx="16">
                  <c:v>54.3</c:v>
                </c:pt>
                <c:pt idx="17">
                  <c:v>52.2</c:v>
                </c:pt>
                <c:pt idx="18">
                  <c:v>50.5</c:v>
                </c:pt>
                <c:pt idx="19">
                  <c:v>49.9</c:v>
                </c:pt>
                <c:pt idx="20">
                  <c:v>49.8</c:v>
                </c:pt>
                <c:pt idx="21">
                  <c:v>50.1</c:v>
                </c:pt>
                <c:pt idx="22">
                  <c:v>50</c:v>
                </c:pt>
                <c:pt idx="23">
                  <c:v>50</c:v>
                </c:pt>
                <c:pt idx="24">
                  <c:v>50</c:v>
                </c:pt>
                <c:pt idx="25">
                  <c:v>49.1</c:v>
                </c:pt>
                <c:pt idx="26">
                  <c:v>46.9</c:v>
                </c:pt>
                <c:pt idx="27">
                  <c:v>44.8</c:v>
                </c:pt>
                <c:pt idx="28">
                  <c:v>42.6</c:v>
                </c:pt>
                <c:pt idx="29">
                  <c:v>40.799999999999997</c:v>
                </c:pt>
                <c:pt idx="30">
                  <c:v>39.6</c:v>
                </c:pt>
                <c:pt idx="31">
                  <c:v>38.1</c:v>
                </c:pt>
                <c:pt idx="32">
                  <c:v>36.700000000000003</c:v>
                </c:pt>
                <c:pt idx="33">
                  <c:v>34.799999999999997</c:v>
                </c:pt>
                <c:pt idx="34">
                  <c:v>33.6</c:v>
                </c:pt>
                <c:pt idx="35">
                  <c:v>31.4</c:v>
                </c:pt>
                <c:pt idx="36">
                  <c:v>29.5</c:v>
                </c:pt>
                <c:pt idx="37">
                  <c:v>28.3</c:v>
                </c:pt>
                <c:pt idx="38">
                  <c:v>27.7</c:v>
                </c:pt>
                <c:pt idx="39">
                  <c:v>27</c:v>
                </c:pt>
                <c:pt idx="40">
                  <c:v>26.1</c:v>
                </c:pt>
                <c:pt idx="41">
                  <c:v>25.1</c:v>
                </c:pt>
              </c:numCache>
            </c:numRef>
          </c:val>
          <c:smooth val="0"/>
          <c:extLst>
            <c:ext xmlns:c16="http://schemas.microsoft.com/office/drawing/2014/chart" uri="{C3380CC4-5D6E-409C-BE32-E72D297353CC}">
              <c16:uniqueId val="{00000000-46B3-4C22-8095-365AC629736E}"/>
            </c:ext>
          </c:extLst>
        </c:ser>
        <c:ser>
          <c:idx val="2"/>
          <c:order val="2"/>
          <c:tx>
            <c:strRef>
              <c:f>[工作簿1]Sheet1!$C$1</c:f>
              <c:strCache>
                <c:ptCount val="1"/>
                <c:pt idx="0">
                  <c:v>二产</c:v>
                </c:pt>
              </c:strCache>
            </c:strRef>
          </c:tx>
          <c:spPr>
            <a:ln w="28575" cap="rnd">
              <a:solidFill>
                <a:srgbClr val="A5A5A5"/>
              </a:solidFill>
              <a:round/>
            </a:ln>
            <a:effectLst/>
          </c:spPr>
          <c:marker>
            <c:symbol val="none"/>
          </c:marker>
          <c:cat>
            <c:numRef>
              <c:f>[工作簿1]Sheet1!$A$2:$A$43</c:f>
              <c:numCache>
                <c:formatCode>@</c:formatCode>
                <c:ptCount val="42"/>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pt idx="35">
                  <c:v>2013</c:v>
                </c:pt>
                <c:pt idx="36">
                  <c:v>2014</c:v>
                </c:pt>
                <c:pt idx="37">
                  <c:v>2015</c:v>
                </c:pt>
                <c:pt idx="38">
                  <c:v>2016</c:v>
                </c:pt>
                <c:pt idx="39">
                  <c:v>2017</c:v>
                </c:pt>
                <c:pt idx="40">
                  <c:v>2018</c:v>
                </c:pt>
                <c:pt idx="41">
                  <c:v>2019</c:v>
                </c:pt>
              </c:numCache>
            </c:numRef>
          </c:cat>
          <c:val>
            <c:numRef>
              <c:f>[工作簿1]Sheet1!$C$2:$C$43</c:f>
              <c:numCache>
                <c:formatCode>0.00_ </c:formatCode>
                <c:ptCount val="42"/>
                <c:pt idx="0">
                  <c:v>17.3</c:v>
                </c:pt>
                <c:pt idx="1">
                  <c:v>17.600000000000001</c:v>
                </c:pt>
                <c:pt idx="2">
                  <c:v>18.2</c:v>
                </c:pt>
                <c:pt idx="3">
                  <c:v>18.3</c:v>
                </c:pt>
                <c:pt idx="4">
                  <c:v>18.399999999999999</c:v>
                </c:pt>
                <c:pt idx="5">
                  <c:v>18.7</c:v>
                </c:pt>
                <c:pt idx="6">
                  <c:v>19.899999999999999</c:v>
                </c:pt>
                <c:pt idx="7">
                  <c:v>20.8</c:v>
                </c:pt>
                <c:pt idx="8">
                  <c:v>21.9</c:v>
                </c:pt>
                <c:pt idx="9">
                  <c:v>22.2</c:v>
                </c:pt>
                <c:pt idx="10">
                  <c:v>22.4</c:v>
                </c:pt>
                <c:pt idx="11">
                  <c:v>21.6</c:v>
                </c:pt>
                <c:pt idx="12">
                  <c:v>21.4</c:v>
                </c:pt>
                <c:pt idx="13">
                  <c:v>21.4</c:v>
                </c:pt>
                <c:pt idx="14">
                  <c:v>21.7</c:v>
                </c:pt>
                <c:pt idx="15">
                  <c:v>22.4</c:v>
                </c:pt>
                <c:pt idx="16">
                  <c:v>22.7</c:v>
                </c:pt>
                <c:pt idx="17">
                  <c:v>23</c:v>
                </c:pt>
                <c:pt idx="18">
                  <c:v>23.5</c:v>
                </c:pt>
                <c:pt idx="19">
                  <c:v>23.7</c:v>
                </c:pt>
                <c:pt idx="20">
                  <c:v>23.5</c:v>
                </c:pt>
                <c:pt idx="21">
                  <c:v>23</c:v>
                </c:pt>
                <c:pt idx="22">
                  <c:v>22.5</c:v>
                </c:pt>
                <c:pt idx="23">
                  <c:v>22.3</c:v>
                </c:pt>
                <c:pt idx="24">
                  <c:v>21.4</c:v>
                </c:pt>
                <c:pt idx="25">
                  <c:v>21.6</c:v>
                </c:pt>
                <c:pt idx="26">
                  <c:v>22.5</c:v>
                </c:pt>
                <c:pt idx="27">
                  <c:v>23.8</c:v>
                </c:pt>
                <c:pt idx="28">
                  <c:v>25.2</c:v>
                </c:pt>
                <c:pt idx="29">
                  <c:v>26.8</c:v>
                </c:pt>
                <c:pt idx="30">
                  <c:v>27.2</c:v>
                </c:pt>
                <c:pt idx="31">
                  <c:v>27.8</c:v>
                </c:pt>
                <c:pt idx="32">
                  <c:v>28.7</c:v>
                </c:pt>
                <c:pt idx="33">
                  <c:v>29.5</c:v>
                </c:pt>
                <c:pt idx="34">
                  <c:v>30.3</c:v>
                </c:pt>
                <c:pt idx="35">
                  <c:v>30.1</c:v>
                </c:pt>
                <c:pt idx="36">
                  <c:v>29.9</c:v>
                </c:pt>
                <c:pt idx="37">
                  <c:v>29.3</c:v>
                </c:pt>
                <c:pt idx="38">
                  <c:v>28.8</c:v>
                </c:pt>
                <c:pt idx="39">
                  <c:v>28.1</c:v>
                </c:pt>
                <c:pt idx="40">
                  <c:v>27.6</c:v>
                </c:pt>
                <c:pt idx="41">
                  <c:v>27.5</c:v>
                </c:pt>
              </c:numCache>
            </c:numRef>
          </c:val>
          <c:smooth val="0"/>
          <c:extLst>
            <c:ext xmlns:c16="http://schemas.microsoft.com/office/drawing/2014/chart" uri="{C3380CC4-5D6E-409C-BE32-E72D297353CC}">
              <c16:uniqueId val="{00000001-46B3-4C22-8095-365AC629736E}"/>
            </c:ext>
          </c:extLst>
        </c:ser>
        <c:ser>
          <c:idx val="3"/>
          <c:order val="3"/>
          <c:tx>
            <c:strRef>
              <c:f>[工作簿1]Sheet1!$D$1</c:f>
              <c:strCache>
                <c:ptCount val="1"/>
                <c:pt idx="0">
                  <c:v>三产</c:v>
                </c:pt>
              </c:strCache>
            </c:strRef>
          </c:tx>
          <c:spPr>
            <a:ln w="28575" cap="rnd">
              <a:solidFill>
                <a:srgbClr val="FFC000"/>
              </a:solidFill>
              <a:round/>
            </a:ln>
            <a:effectLst/>
          </c:spPr>
          <c:marker>
            <c:symbol val="none"/>
          </c:marker>
          <c:cat>
            <c:numRef>
              <c:f>[工作簿1]Sheet1!$A$2:$A$43</c:f>
              <c:numCache>
                <c:formatCode>@</c:formatCode>
                <c:ptCount val="42"/>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pt idx="35">
                  <c:v>2013</c:v>
                </c:pt>
                <c:pt idx="36">
                  <c:v>2014</c:v>
                </c:pt>
                <c:pt idx="37">
                  <c:v>2015</c:v>
                </c:pt>
                <c:pt idx="38">
                  <c:v>2016</c:v>
                </c:pt>
                <c:pt idx="39">
                  <c:v>2017</c:v>
                </c:pt>
                <c:pt idx="40">
                  <c:v>2018</c:v>
                </c:pt>
                <c:pt idx="41">
                  <c:v>2019</c:v>
                </c:pt>
              </c:numCache>
            </c:numRef>
          </c:cat>
          <c:val>
            <c:numRef>
              <c:f>[工作簿1]Sheet1!$D$2:$D$43</c:f>
              <c:numCache>
                <c:formatCode>0.00_ </c:formatCode>
                <c:ptCount val="42"/>
                <c:pt idx="0">
                  <c:v>12.2</c:v>
                </c:pt>
                <c:pt idx="1">
                  <c:v>12.6</c:v>
                </c:pt>
                <c:pt idx="2">
                  <c:v>13.1</c:v>
                </c:pt>
                <c:pt idx="3">
                  <c:v>13.6</c:v>
                </c:pt>
                <c:pt idx="4">
                  <c:v>13.5</c:v>
                </c:pt>
                <c:pt idx="5">
                  <c:v>14.2</c:v>
                </c:pt>
                <c:pt idx="6">
                  <c:v>16.100000000000001</c:v>
                </c:pt>
                <c:pt idx="7">
                  <c:v>16.8</c:v>
                </c:pt>
                <c:pt idx="8">
                  <c:v>17.2</c:v>
                </c:pt>
                <c:pt idx="9">
                  <c:v>17.8</c:v>
                </c:pt>
                <c:pt idx="10">
                  <c:v>18.3</c:v>
                </c:pt>
                <c:pt idx="11">
                  <c:v>18.3</c:v>
                </c:pt>
                <c:pt idx="12">
                  <c:v>18.5</c:v>
                </c:pt>
                <c:pt idx="13">
                  <c:v>18.899999999999999</c:v>
                </c:pt>
                <c:pt idx="14">
                  <c:v>19.8</c:v>
                </c:pt>
                <c:pt idx="15">
                  <c:v>21.2</c:v>
                </c:pt>
                <c:pt idx="16">
                  <c:v>23</c:v>
                </c:pt>
                <c:pt idx="17">
                  <c:v>24.8</c:v>
                </c:pt>
                <c:pt idx="18">
                  <c:v>26</c:v>
                </c:pt>
                <c:pt idx="19">
                  <c:v>26.4</c:v>
                </c:pt>
                <c:pt idx="20">
                  <c:v>26.7</c:v>
                </c:pt>
                <c:pt idx="21">
                  <c:v>26.9</c:v>
                </c:pt>
                <c:pt idx="22">
                  <c:v>27.5</c:v>
                </c:pt>
                <c:pt idx="23">
                  <c:v>27.7</c:v>
                </c:pt>
                <c:pt idx="24">
                  <c:v>28.6</c:v>
                </c:pt>
                <c:pt idx="25">
                  <c:v>29.3</c:v>
                </c:pt>
                <c:pt idx="26">
                  <c:v>30.6</c:v>
                </c:pt>
                <c:pt idx="27">
                  <c:v>31.4</c:v>
                </c:pt>
                <c:pt idx="28">
                  <c:v>32.200000000000003</c:v>
                </c:pt>
                <c:pt idx="29">
                  <c:v>32.4</c:v>
                </c:pt>
                <c:pt idx="30">
                  <c:v>33.200000000000003</c:v>
                </c:pt>
                <c:pt idx="31">
                  <c:v>34.1</c:v>
                </c:pt>
                <c:pt idx="32">
                  <c:v>34.6</c:v>
                </c:pt>
                <c:pt idx="33">
                  <c:v>35.700000000000003</c:v>
                </c:pt>
                <c:pt idx="34">
                  <c:v>36.1</c:v>
                </c:pt>
                <c:pt idx="35">
                  <c:v>38.5</c:v>
                </c:pt>
                <c:pt idx="36">
                  <c:v>40.6</c:v>
                </c:pt>
                <c:pt idx="37">
                  <c:v>42.4</c:v>
                </c:pt>
                <c:pt idx="38">
                  <c:v>43.5</c:v>
                </c:pt>
                <c:pt idx="39">
                  <c:v>44.9</c:v>
                </c:pt>
                <c:pt idx="40">
                  <c:v>46.3</c:v>
                </c:pt>
                <c:pt idx="41">
                  <c:v>47.4</c:v>
                </c:pt>
              </c:numCache>
            </c:numRef>
          </c:val>
          <c:smooth val="0"/>
          <c:extLst>
            <c:ext xmlns:c16="http://schemas.microsoft.com/office/drawing/2014/chart" uri="{C3380CC4-5D6E-409C-BE32-E72D297353CC}">
              <c16:uniqueId val="{00000002-46B3-4C22-8095-365AC629736E}"/>
            </c:ext>
          </c:extLst>
        </c:ser>
        <c:dLbls>
          <c:showLegendKey val="0"/>
          <c:showVal val="0"/>
          <c:showCatName val="0"/>
          <c:showSerName val="0"/>
          <c:showPercent val="0"/>
          <c:showBubbleSize val="0"/>
        </c:dLbls>
        <c:smooth val="0"/>
        <c:axId val="759477472"/>
        <c:axId val="759477080"/>
        <c:extLst>
          <c:ext xmlns:c15="http://schemas.microsoft.com/office/drawing/2012/chart" uri="{02D57815-91ED-43cb-92C2-25804820EDAC}">
            <c15:filteredLineSeries>
              <c15:ser>
                <c:idx val="0"/>
                <c:order val="0"/>
                <c:tx>
                  <c:strRef>
                    <c:extLst>
                      <c:ext uri="{02D57815-91ED-43cb-92C2-25804820EDAC}">
                        <c15:formulaRef>
                          <c15:sqref>[工作簿1]Sheet1!$A$1</c15:sqref>
                        </c15:formulaRef>
                      </c:ext>
                    </c:extLst>
                    <c:strCache>
                      <c:ptCount val="1"/>
                      <c:pt idx="0">
                        <c:v>年份</c:v>
                      </c:pt>
                    </c:strCache>
                  </c:strRef>
                </c:tx>
                <c:spPr>
                  <a:ln w="28575" cap="rnd">
                    <a:solidFill>
                      <a:srgbClr val="5B9BD5"/>
                    </a:solidFill>
                    <a:round/>
                  </a:ln>
                  <a:effectLst/>
                </c:spPr>
                <c:marker>
                  <c:symbol val="none"/>
                </c:marker>
                <c:cat>
                  <c:numRef>
                    <c:extLst>
                      <c:ext uri="{02D57815-91ED-43cb-92C2-25804820EDAC}">
                        <c15:formulaRef>
                          <c15:sqref>[工作簿1]Sheet1!$A$2:$A$43</c15:sqref>
                        </c15:formulaRef>
                      </c:ext>
                    </c:extLst>
                    <c:numCache>
                      <c:formatCode>@</c:formatCode>
                      <c:ptCount val="42"/>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pt idx="35">
                        <c:v>2013</c:v>
                      </c:pt>
                      <c:pt idx="36">
                        <c:v>2014</c:v>
                      </c:pt>
                      <c:pt idx="37">
                        <c:v>2015</c:v>
                      </c:pt>
                      <c:pt idx="38">
                        <c:v>2016</c:v>
                      </c:pt>
                      <c:pt idx="39">
                        <c:v>2017</c:v>
                      </c:pt>
                      <c:pt idx="40">
                        <c:v>2018</c:v>
                      </c:pt>
                      <c:pt idx="41">
                        <c:v>2019</c:v>
                      </c:pt>
                    </c:numCache>
                  </c:numRef>
                </c:cat>
                <c:val>
                  <c:numRef>
                    <c:extLst>
                      <c:ext uri="{02D57815-91ED-43cb-92C2-25804820EDAC}">
                        <c15:formulaRef>
                          <c15:sqref>{1978,1979,1980,1981,1982,1983,1984,1985,1986,1987,1988,1989,1990,1991,1992,1993,1994,1995,1996,1997,1998,1999,2000,2001,2002,2003,2004,2005,2006,2007,2008,2009,2010,2011,2012,2013,2014,2015,2016,2017,2018,2019}</c15:sqref>
                        </c15:formulaRef>
                      </c:ext>
                    </c:extLst>
                    <c:numCache>
                      <c:formatCode>@</c:formatCode>
                      <c:ptCount val="42"/>
                      <c:pt idx="0">
                        <c:v>1978</c:v>
                      </c:pt>
                      <c:pt idx="1">
                        <c:v>1979</c:v>
                      </c:pt>
                      <c:pt idx="2">
                        <c:v>1980</c:v>
                      </c:pt>
                      <c:pt idx="3">
                        <c:v>1981</c:v>
                      </c:pt>
                      <c:pt idx="4">
                        <c:v>1982</c:v>
                      </c:pt>
                      <c:pt idx="5">
                        <c:v>1983</c:v>
                      </c:pt>
                      <c:pt idx="6">
                        <c:v>1984</c:v>
                      </c:pt>
                      <c:pt idx="7">
                        <c:v>1985</c:v>
                      </c:pt>
                      <c:pt idx="8">
                        <c:v>1986</c:v>
                      </c:pt>
                      <c:pt idx="9">
                        <c:v>1987</c:v>
                      </c:pt>
                      <c:pt idx="10">
                        <c:v>1988</c:v>
                      </c:pt>
                      <c:pt idx="11">
                        <c:v>1989</c:v>
                      </c:pt>
                      <c:pt idx="12">
                        <c:v>1990</c:v>
                      </c:pt>
                      <c:pt idx="13">
                        <c:v>1991</c:v>
                      </c:pt>
                      <c:pt idx="14">
                        <c:v>1992</c:v>
                      </c:pt>
                      <c:pt idx="15">
                        <c:v>1993</c:v>
                      </c:pt>
                      <c:pt idx="16">
                        <c:v>1994</c:v>
                      </c:pt>
                      <c:pt idx="17">
                        <c:v>1995</c:v>
                      </c:pt>
                      <c:pt idx="18">
                        <c:v>1996</c:v>
                      </c:pt>
                      <c:pt idx="19">
                        <c:v>1997</c:v>
                      </c:pt>
                      <c:pt idx="20">
                        <c:v>1998</c:v>
                      </c:pt>
                      <c:pt idx="21">
                        <c:v>1999</c:v>
                      </c:pt>
                      <c:pt idx="22">
                        <c:v>2000</c:v>
                      </c:pt>
                      <c:pt idx="23">
                        <c:v>2001</c:v>
                      </c:pt>
                      <c:pt idx="24">
                        <c:v>2002</c:v>
                      </c:pt>
                      <c:pt idx="25">
                        <c:v>2003</c:v>
                      </c:pt>
                      <c:pt idx="26">
                        <c:v>2004</c:v>
                      </c:pt>
                      <c:pt idx="27">
                        <c:v>2005</c:v>
                      </c:pt>
                      <c:pt idx="28">
                        <c:v>2006</c:v>
                      </c:pt>
                      <c:pt idx="29">
                        <c:v>2007</c:v>
                      </c:pt>
                      <c:pt idx="30">
                        <c:v>2008</c:v>
                      </c:pt>
                      <c:pt idx="31">
                        <c:v>2009</c:v>
                      </c:pt>
                      <c:pt idx="32">
                        <c:v>2010</c:v>
                      </c:pt>
                      <c:pt idx="33">
                        <c:v>2011</c:v>
                      </c:pt>
                      <c:pt idx="34">
                        <c:v>2012</c:v>
                      </c:pt>
                      <c:pt idx="35">
                        <c:v>2013</c:v>
                      </c:pt>
                      <c:pt idx="36">
                        <c:v>2014</c:v>
                      </c:pt>
                      <c:pt idx="37">
                        <c:v>2015</c:v>
                      </c:pt>
                      <c:pt idx="38">
                        <c:v>2016</c:v>
                      </c:pt>
                      <c:pt idx="39">
                        <c:v>2017</c:v>
                      </c:pt>
                      <c:pt idx="40">
                        <c:v>2018</c:v>
                      </c:pt>
                      <c:pt idx="41">
                        <c:v>2019</c:v>
                      </c:pt>
                    </c:numCache>
                  </c:numRef>
                </c:val>
                <c:smooth val="0"/>
                <c:extLst>
                  <c:ext xmlns:c16="http://schemas.microsoft.com/office/drawing/2014/chart" uri="{C3380CC4-5D6E-409C-BE32-E72D297353CC}">
                    <c16:uniqueId val="{00000003-46B3-4C22-8095-365AC629736E}"/>
                  </c:ext>
                </c:extLst>
              </c15:ser>
            </c15:filteredLineSeries>
          </c:ext>
        </c:extLst>
      </c:lineChart>
      <c:catAx>
        <c:axId val="759477472"/>
        <c:scaling>
          <c:orientation val="minMax"/>
        </c:scaling>
        <c:delete val="0"/>
        <c:axPos val="b"/>
        <c:numFmt formatCode="@"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endParaRPr lang="zh-CN"/>
          </a:p>
        </c:txPr>
        <c:crossAx val="759477080"/>
        <c:crosses val="autoZero"/>
        <c:auto val="1"/>
        <c:lblAlgn val="ctr"/>
        <c:lblOffset val="100"/>
        <c:noMultiLvlLbl val="0"/>
      </c:catAx>
      <c:valAx>
        <c:axId val="759477080"/>
        <c:scaling>
          <c:orientation val="minMax"/>
        </c:scaling>
        <c:delete val="0"/>
        <c:axPos val="l"/>
        <c:majorGridlines>
          <c:spPr>
            <a:ln w="9525" cap="flat" cmpd="sng" algn="ctr">
              <a:solidFill>
                <a:srgbClr val="D9D9D9">
                  <a:lumMod val="15000"/>
                  <a:lumOff val="85000"/>
                </a:srgb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endParaRPr lang="zh-CN"/>
          </a:p>
        </c:txPr>
        <c:crossAx val="759477472"/>
        <c:crosses val="autoZero"/>
        <c:crossBetween val="between"/>
      </c:valAx>
      <c:spPr>
        <a:noFill/>
        <a:ln>
          <a:noFill/>
        </a:ln>
        <a:effectLst/>
      </c:spPr>
    </c:plotArea>
    <c:legend>
      <c:legendPos val="b"/>
      <c:layout>
        <c:manualLayout>
          <c:xMode val="edge"/>
          <c:yMode val="edge"/>
          <c:x val="0.31909176407362599"/>
          <c:y val="0.90081967213114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[各行业平均工资.xlsx]Sheet1!$B$1</c:f>
              <c:strCache>
                <c:ptCount val="1"/>
                <c:pt idx="0">
                  <c:v>平均工资</c:v>
                </c:pt>
              </c:strCache>
            </c:strRef>
          </c:tx>
          <c:spPr>
            <a:solidFill>
              <a:srgbClr val="5B9BD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Times New Roman" panose="02020603050405020304" charset="0"/>
                    <a:ea typeface="+mn-ea"/>
                    <a:cs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[各行业平均工资.xlsx]Sheet1!$A$2:$A$8</c:f>
              <c:strCache>
                <c:ptCount val="7"/>
                <c:pt idx="0">
                  <c:v>农、林、牧、渔业</c:v>
                </c:pt>
                <c:pt idx="1">
                  <c:v>制造业</c:v>
                </c:pt>
                <c:pt idx="2">
                  <c:v>信息传输、软件和信息技术服务业</c:v>
                </c:pt>
                <c:pt idx="3">
                  <c:v>电信、广播电视和卫星传输服务</c:v>
                </c:pt>
                <c:pt idx="4">
                  <c:v>互联网和相关服务</c:v>
                </c:pt>
                <c:pt idx="5">
                  <c:v>金融业</c:v>
                </c:pt>
                <c:pt idx="6">
                  <c:v>房地产业</c:v>
                </c:pt>
              </c:strCache>
            </c:strRef>
          </c:cat>
          <c:val>
            <c:numRef>
              <c:f>[各行业平均工资.xlsx]Sheet1!$B$2:$B$8</c:f>
              <c:numCache>
                <c:formatCode>General</c:formatCode>
                <c:ptCount val="7"/>
                <c:pt idx="0">
                  <c:v>39340</c:v>
                </c:pt>
                <c:pt idx="1">
                  <c:v>78147</c:v>
                </c:pt>
                <c:pt idx="2">
                  <c:v>161352</c:v>
                </c:pt>
                <c:pt idx="3">
                  <c:v>120756</c:v>
                </c:pt>
                <c:pt idx="4">
                  <c:v>209195</c:v>
                </c:pt>
                <c:pt idx="5">
                  <c:v>131405</c:v>
                </c:pt>
                <c:pt idx="6">
                  <c:v>80157</c:v>
                </c:pt>
              </c:numCache>
            </c:numRef>
          </c:val>
          <c:extLst>
            <c:ext xmlns:c16="http://schemas.microsoft.com/office/drawing/2014/chart" uri="{C3380CC4-5D6E-409C-BE32-E72D297353CC}">
              <c16:uniqueId val="{00000000-F213-4AE5-ADBC-B236870F6210}"/>
            </c:ext>
          </c:extLst>
        </c:ser>
        <c:dLbls>
          <c:showLegendKey val="0"/>
          <c:showVal val="1"/>
          <c:showCatName val="0"/>
          <c:showSerName val="0"/>
          <c:showPercent val="0"/>
          <c:showBubbleSize val="0"/>
        </c:dLbls>
        <c:gapWidth val="219"/>
        <c:overlap val="-27"/>
        <c:axId val="803329136"/>
        <c:axId val="803328744"/>
      </c:barChart>
      <c:catAx>
        <c:axId val="803329136"/>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803328744"/>
        <c:crosses val="autoZero"/>
        <c:auto val="1"/>
        <c:lblAlgn val="ctr"/>
        <c:lblOffset val="100"/>
        <c:noMultiLvlLbl val="0"/>
      </c:catAx>
      <c:valAx>
        <c:axId val="803328744"/>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endParaRPr lang="zh-CN"/>
          </a:p>
        </c:txPr>
        <c:crossAx val="803329136"/>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886482939633"/>
          <c:y val="5.0925925925925902E-2"/>
          <c:w val="0.78955796150481194"/>
          <c:h val="0.72396580635753904"/>
        </c:manualLayout>
      </c:layout>
      <c:lineChart>
        <c:grouping val="standard"/>
        <c:varyColors val="0"/>
        <c:ser>
          <c:idx val="0"/>
          <c:order val="0"/>
          <c:tx>
            <c:strRef>
              <c:f>'1-29分地区按行业分城镇非私营单位就业人员平均工资'!$W$1</c:f>
              <c:strCache>
                <c:ptCount val="1"/>
                <c:pt idx="0">
                  <c:v>非数字经济</c:v>
                </c:pt>
              </c:strCache>
            </c:strRef>
          </c:tx>
          <c:spPr>
            <a:ln w="28575" cap="rnd">
              <a:solidFill>
                <a:srgbClr val="5B9BD5"/>
              </a:solidFill>
              <a:round/>
            </a:ln>
            <a:effectLst/>
          </c:spPr>
          <c:marker>
            <c:symbol val="circle"/>
            <c:size val="5"/>
            <c:spPr>
              <a:solidFill>
                <a:srgbClr val="5B9BD5"/>
              </a:solidFill>
              <a:ln w="9525">
                <a:solidFill>
                  <a:srgbClr val="5B9BD5"/>
                </a:solidFill>
              </a:ln>
              <a:effectLst/>
            </c:spPr>
          </c:marker>
          <c:cat>
            <c:numRef>
              <c:f>'1-29分地区按行业分城镇非私营单位就业人员平均工资'!$A$2:$A$130</c:f>
              <c:numCache>
                <c:formatCode>General</c:formatCode>
                <c:ptCount val="5"/>
                <c:pt idx="0">
                  <c:v>2015</c:v>
                </c:pt>
                <c:pt idx="1">
                  <c:v>2016</c:v>
                </c:pt>
                <c:pt idx="2">
                  <c:v>2017</c:v>
                </c:pt>
                <c:pt idx="3">
                  <c:v>2018</c:v>
                </c:pt>
                <c:pt idx="4">
                  <c:v>2019</c:v>
                </c:pt>
              </c:numCache>
            </c:numRef>
          </c:cat>
          <c:val>
            <c:numRef>
              <c:f>'1-29分地区按行业分城镇非私营单位就业人员平均工资'!$W$2:$W$130</c:f>
              <c:numCache>
                <c:formatCode>General</c:formatCode>
                <c:ptCount val="5"/>
                <c:pt idx="0">
                  <c:v>63497.555555555598</c:v>
                </c:pt>
                <c:pt idx="1">
                  <c:v>68260.222222222204</c:v>
                </c:pt>
                <c:pt idx="2">
                  <c:v>74383.388888888905</c:v>
                </c:pt>
                <c:pt idx="3">
                  <c:v>81702.222222222204</c:v>
                </c:pt>
                <c:pt idx="4">
                  <c:v>87865.166666666701</c:v>
                </c:pt>
              </c:numCache>
            </c:numRef>
          </c:val>
          <c:smooth val="0"/>
          <c:extLst>
            <c:ext xmlns:c16="http://schemas.microsoft.com/office/drawing/2014/chart" uri="{C3380CC4-5D6E-409C-BE32-E72D297353CC}">
              <c16:uniqueId val="{00000000-1AF2-4B62-994D-35DA232A1FF9}"/>
            </c:ext>
          </c:extLst>
        </c:ser>
        <c:ser>
          <c:idx val="1"/>
          <c:order val="1"/>
          <c:tx>
            <c:strRef>
              <c:f>'1-29分地区按行业分城镇非私营单位就业人员平均工资'!$X$1</c:f>
              <c:strCache>
                <c:ptCount val="1"/>
                <c:pt idx="0">
                  <c:v>数字经济</c:v>
                </c:pt>
              </c:strCache>
            </c:strRef>
          </c:tx>
          <c:spPr>
            <a:ln w="28575" cap="rnd">
              <a:solidFill>
                <a:srgbClr val="ED7D31"/>
              </a:solidFill>
              <a:round/>
            </a:ln>
            <a:effectLst/>
          </c:spPr>
          <c:marker>
            <c:symbol val="circle"/>
            <c:size val="5"/>
            <c:spPr>
              <a:solidFill>
                <a:srgbClr val="ED7D31"/>
              </a:solidFill>
              <a:ln w="9525">
                <a:solidFill>
                  <a:srgbClr val="ED7D31"/>
                </a:solidFill>
              </a:ln>
              <a:effectLst/>
            </c:spPr>
          </c:marker>
          <c:cat>
            <c:numRef>
              <c:f>'1-29分地区按行业分城镇非私营单位就业人员平均工资'!$A$2:$A$130</c:f>
              <c:numCache>
                <c:formatCode>General</c:formatCode>
                <c:ptCount val="5"/>
                <c:pt idx="0">
                  <c:v>2015</c:v>
                </c:pt>
                <c:pt idx="1">
                  <c:v>2016</c:v>
                </c:pt>
                <c:pt idx="2">
                  <c:v>2017</c:v>
                </c:pt>
                <c:pt idx="3">
                  <c:v>2018</c:v>
                </c:pt>
                <c:pt idx="4">
                  <c:v>2019</c:v>
                </c:pt>
              </c:numCache>
            </c:numRef>
          </c:cat>
          <c:val>
            <c:numRef>
              <c:f>'1-29分地区按行业分城镇非私营单位就业人员平均工资'!$X$2:$X$130</c:f>
              <c:numCache>
                <c:formatCode>General</c:formatCode>
                <c:ptCount val="5"/>
                <c:pt idx="0">
                  <c:v>112042</c:v>
                </c:pt>
                <c:pt idx="1">
                  <c:v>122478</c:v>
                </c:pt>
                <c:pt idx="2">
                  <c:v>133150</c:v>
                </c:pt>
                <c:pt idx="3">
                  <c:v>147678</c:v>
                </c:pt>
                <c:pt idx="4">
                  <c:v>161352</c:v>
                </c:pt>
              </c:numCache>
            </c:numRef>
          </c:val>
          <c:smooth val="0"/>
          <c:extLst>
            <c:ext xmlns:c16="http://schemas.microsoft.com/office/drawing/2014/chart" uri="{C3380CC4-5D6E-409C-BE32-E72D297353CC}">
              <c16:uniqueId val="{00000001-1AF2-4B62-994D-35DA232A1FF9}"/>
            </c:ext>
          </c:extLst>
        </c:ser>
        <c:dLbls>
          <c:showLegendKey val="0"/>
          <c:showVal val="0"/>
          <c:showCatName val="0"/>
          <c:showSerName val="0"/>
          <c:showPercent val="0"/>
          <c:showBubbleSize val="0"/>
        </c:dLbls>
        <c:marker val="1"/>
        <c:smooth val="0"/>
        <c:axId val="803328352"/>
        <c:axId val="803327960"/>
      </c:lineChart>
      <c:catAx>
        <c:axId val="803328352"/>
        <c:scaling>
          <c:orientation val="minMax"/>
        </c:scaling>
        <c:delete val="0"/>
        <c:axPos val="b"/>
        <c:title>
          <c:tx>
            <c:rich>
              <a:bodyPr rot="0" spcFirstLastPara="1" vertOverflow="ellipsis" vert="horz" wrap="square" anchor="ctr" anchorCtr="1"/>
              <a:lstStyle/>
              <a:p>
                <a:pPr>
                  <a:defRPr lang="zh-CN" sz="11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r>
                  <a:rPr lang="zh-CN"/>
                  <a:t>   年</a:t>
                </a:r>
              </a:p>
            </c:rich>
          </c:tx>
          <c:layout>
            <c:manualLayout>
              <c:xMode val="edge"/>
              <c:yMode val="edge"/>
              <c:x val="0.90799868766404201"/>
              <c:y val="0.69247630504520297"/>
            </c:manualLayout>
          </c:layout>
          <c:overlay val="0"/>
          <c:spPr>
            <a:noFill/>
            <a:ln>
              <a:noFill/>
            </a:ln>
            <a:effectLst/>
          </c:spPr>
          <c:txPr>
            <a:bodyPr rot="0" spcFirstLastPara="1" vertOverflow="ellipsis" vert="horz" wrap="square" anchor="ctr" anchorCtr="1"/>
            <a:lstStyle/>
            <a:p>
              <a:pPr>
                <a:defRPr lang="zh-CN" sz="11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endParaRPr lang="zh-CN"/>
            </a:p>
          </c:tx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10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endParaRPr lang="zh-CN"/>
          </a:p>
        </c:txPr>
        <c:crossAx val="803327960"/>
        <c:crosses val="autoZero"/>
        <c:auto val="1"/>
        <c:lblAlgn val="ctr"/>
        <c:lblOffset val="100"/>
        <c:noMultiLvlLbl val="0"/>
      </c:catAx>
      <c:valAx>
        <c:axId val="803327960"/>
        <c:scaling>
          <c:orientation val="minMax"/>
        </c:scaling>
        <c:delete val="0"/>
        <c:axPos val="l"/>
        <c:majorGridlines>
          <c:spPr>
            <a:ln w="9525" cap="flat" cmpd="sng" algn="ctr">
              <a:solidFill>
                <a:srgbClr val="D9D9D9">
                  <a:lumMod val="15000"/>
                  <a:lumOff val="85000"/>
                </a:srgbClr>
              </a:solidFill>
              <a:round/>
            </a:ln>
            <a:effectLst/>
          </c:spPr>
        </c:majorGridlines>
        <c:title>
          <c:tx>
            <c:rich>
              <a:bodyPr rot="-5400000" spcFirstLastPara="1" vertOverflow="ellipsis" vert="horz" wrap="square" anchor="ctr" anchorCtr="1"/>
              <a:lstStyle/>
              <a:p>
                <a:pPr>
                  <a:defRPr lang="zh-CN" sz="11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r>
                  <a:rPr lang="zh-CN"/>
                  <a:t>元</a:t>
                </a:r>
              </a:p>
            </c:rich>
          </c:tx>
          <c:overlay val="0"/>
          <c:spPr>
            <a:noFill/>
            <a:ln>
              <a:noFill/>
            </a:ln>
            <a:effectLst/>
          </c:spPr>
          <c:txPr>
            <a:bodyPr rot="-5400000" spcFirstLastPara="1" vertOverflow="ellipsis" vert="horz" wrap="square" anchor="ctr" anchorCtr="1"/>
            <a:lstStyle/>
            <a:p>
              <a:pPr>
                <a:defRPr lang="zh-CN" sz="11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endParaRPr lang="zh-C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000" b="0" i="0" u="none" strike="noStrike" kern="1200" baseline="0">
                <a:solidFill>
                  <a:srgbClr val="595959">
                    <a:lumMod val="65000"/>
                    <a:lumOff val="35000"/>
                  </a:srgbClr>
                </a:solidFill>
                <a:latin typeface="Times New Roman" panose="02020603050405020304" charset="0"/>
                <a:ea typeface="+mn-ea"/>
                <a:cs typeface="Times New Roman" panose="02020603050405020304" charset="0"/>
              </a:defRPr>
            </a:pPr>
            <a:endParaRPr lang="zh-CN"/>
          </a:p>
        </c:txPr>
        <c:crossAx val="803328352"/>
        <c:crosses val="autoZero"/>
        <c:crossBetween val="between"/>
      </c:valAx>
      <c:spPr>
        <a:noFill/>
        <a:ln>
          <a:noFill/>
        </a:ln>
        <a:effectLst/>
      </c:spPr>
    </c:plotArea>
    <c:legend>
      <c:legendPos val="b"/>
      <c:layout>
        <c:manualLayout>
          <c:xMode val="edge"/>
          <c:yMode val="edge"/>
          <c:x val="0.281944444444444"/>
          <c:y val="0.89699074074074103"/>
        </c:manualLayout>
      </c:layout>
      <c:overlay val="0"/>
      <c:spPr>
        <a:noFill/>
        <a:ln>
          <a:noFill/>
        </a:ln>
        <a:effectLst/>
      </c:spPr>
      <c:txPr>
        <a:bodyPr rot="0" spcFirstLastPara="1" vertOverflow="ellipsis" vert="horz" wrap="square" anchor="ctr" anchorCtr="1"/>
        <a:lstStyle/>
        <a:p>
          <a:pPr>
            <a:defRPr lang="zh-CN" sz="1100" b="0" i="0" u="none" strike="noStrike" kern="1200" baseline="0">
              <a:solidFill>
                <a:srgbClr val="595959">
                  <a:lumMod val="65000"/>
                  <a:lumOff val="35000"/>
                </a:srgbClr>
              </a:solidFill>
              <a:latin typeface="宋体" panose="02010600030101010101" charset="-122"/>
              <a:ea typeface="宋体" panose="02010600030101010101" charset="-122"/>
              <a:cs typeface="Times New Roman" panose="02020603050405020304" charset="0"/>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100">
          <a:latin typeface="Times New Roman" panose="02020603050405020304" charset="0"/>
          <a:cs typeface="Times New Roman" panose="02020603050405020304" charset="0"/>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solidFill>
        <a:srgbClr val="FFFFFF"/>
      </a:solidFill>
    </cs:spPr>
  </cs:dataPoint>
  <cs:dataPoint3D>
    <cs:lnRef idx="0"/>
    <cs:fillRef idx="1">
      <cs:styleClr val="auto"/>
    </cs:fillRef>
    <cs:effectRef idx="0"/>
    <cs:fontRef idx="minor">
      <a:srgbClr val="000000"/>
    </cs:fontRef>
    <cs:spPr>
      <a:solidFill>
        <a:srgbClr val="FFFFFF"/>
      </a:solidFill>
    </cs:spPr>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solidFill>
        <a:srgbClr val="FFFFFF"/>
      </a:solidFill>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C2BDC-2774-4A02-A0E4-263BBE42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6929</Words>
  <Characters>39500</Characters>
  <Application>Microsoft Office Word</Application>
  <DocSecurity>0</DocSecurity>
  <Lines>329</Lines>
  <Paragraphs>92</Paragraphs>
  <ScaleCrop>false</ScaleCrop>
  <Company>Home</Company>
  <LinksUpToDate>false</LinksUpToDate>
  <CharactersWithSpaces>46337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幼迟</dc:creator>
  <cp:lastModifiedBy>Administrator</cp:lastModifiedBy>
  <cp:revision>179</cp:revision>
  <cp:lastPrinted>2022-01-23T10:46:00Z</cp:lastPrinted>
  <dcterms:created xsi:type="dcterms:W3CDTF">2022-01-17T02:25:00Z</dcterms:created>
  <dcterms:modified xsi:type="dcterms:W3CDTF">2022-01-29T00:46:00Z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682463830AD24A22AA2559755F3BB05F</vt:lpwstr>
  </property>
</Properties>
</file>