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3.xml" ContentType="application/vnd.openxmlformats-officedocument.themeOverrid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BE794" w14:textId="44853B13" w:rsidR="006259D9" w:rsidRPr="00D446B2" w:rsidRDefault="006259D9" w:rsidP="006259D9">
      <w:pPr>
        <w:spacing w:beforeLines="100" w:before="312" w:line="360" w:lineRule="auto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AD4338">
        <w:rPr>
          <w:rFonts w:ascii="黑体" w:eastAsia="黑体" w:hAnsi="黑体" w:cs="宋体" w:hint="eastAsia"/>
          <w:bCs/>
          <w:kern w:val="0"/>
          <w:sz w:val="32"/>
          <w:szCs w:val="32"/>
        </w:rPr>
        <w:t>2016</w:t>
      </w:r>
      <w:r w:rsidR="00A754F7">
        <w:rPr>
          <w:rFonts w:ascii="黑体" w:eastAsia="黑体" w:hAnsi="黑体" w:cs="宋体" w:hint="eastAsia"/>
          <w:bCs/>
          <w:kern w:val="0"/>
          <w:sz w:val="32"/>
          <w:szCs w:val="32"/>
        </w:rPr>
        <w:t>年三季度</w:t>
      </w:r>
      <w:r w:rsidRPr="00AD4338">
        <w:rPr>
          <w:rFonts w:ascii="黑体" w:eastAsia="黑体" w:hAnsi="黑体" w:cs="宋体" w:hint="eastAsia"/>
          <w:bCs/>
          <w:kern w:val="0"/>
          <w:sz w:val="32"/>
          <w:szCs w:val="32"/>
        </w:rPr>
        <w:t>战略性新兴产业</w:t>
      </w:r>
      <w:r w:rsidR="003C128E">
        <w:rPr>
          <w:rFonts w:ascii="黑体" w:eastAsia="黑体" w:hAnsi="黑体" w:cs="宋体" w:hint="eastAsia"/>
          <w:bCs/>
          <w:kern w:val="0"/>
          <w:sz w:val="32"/>
          <w:szCs w:val="32"/>
        </w:rPr>
        <w:t>上市公司发展报告</w:t>
      </w:r>
    </w:p>
    <w:p w14:paraId="573FCC51" w14:textId="59572DFE" w:rsidR="006259D9" w:rsidRPr="00FA34F2" w:rsidRDefault="00746AEE" w:rsidP="00AE582A">
      <w:pPr>
        <w:spacing w:beforeLines="100" w:before="312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2016年12月19日，国务院发布《“十三五”国家战略性新兴产业发展规划》</w:t>
      </w:r>
      <w:r w:rsidR="00A24EBF">
        <w:rPr>
          <w:rFonts w:ascii="仿宋" w:eastAsia="仿宋" w:hAnsi="仿宋" w:hint="eastAsia"/>
          <w:sz w:val="30"/>
          <w:szCs w:val="30"/>
        </w:rPr>
        <w:t>（</w:t>
      </w:r>
      <w:r w:rsidR="00A24EBF" w:rsidRPr="00A24EBF">
        <w:rPr>
          <w:rFonts w:ascii="仿宋" w:eastAsia="仿宋" w:hAnsi="仿宋" w:hint="eastAsia"/>
          <w:sz w:val="30"/>
          <w:szCs w:val="30"/>
        </w:rPr>
        <w:t>国发〔2016〕67号</w:t>
      </w:r>
      <w:r w:rsidR="00A24EBF"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，将</w:t>
      </w:r>
      <w:r w:rsidR="00AE582A">
        <w:rPr>
          <w:rFonts w:ascii="仿宋" w:eastAsia="仿宋" w:hAnsi="仿宋" w:hint="eastAsia"/>
          <w:sz w:val="30"/>
          <w:szCs w:val="30"/>
        </w:rPr>
        <w:t>原有七大领域整合为五大领域，并新加入数字创意产业。为与新规划</w:t>
      </w:r>
      <w:r>
        <w:rPr>
          <w:rFonts w:ascii="仿宋" w:eastAsia="仿宋" w:hAnsi="仿宋" w:hint="eastAsia"/>
          <w:sz w:val="30"/>
          <w:szCs w:val="30"/>
        </w:rPr>
        <w:t>对标，</w:t>
      </w:r>
      <w:r w:rsidR="00AE582A">
        <w:rPr>
          <w:rFonts w:ascii="仿宋" w:eastAsia="仿宋" w:hAnsi="仿宋" w:hint="eastAsia"/>
          <w:sz w:val="30"/>
          <w:szCs w:val="30"/>
        </w:rPr>
        <w:t>本期报告</w:t>
      </w:r>
      <w:r>
        <w:rPr>
          <w:rFonts w:ascii="仿宋" w:eastAsia="仿宋" w:hAnsi="仿宋" w:hint="eastAsia"/>
          <w:sz w:val="30"/>
          <w:szCs w:val="30"/>
        </w:rPr>
        <w:t>首次将数字创意产业纳入统计分析</w:t>
      </w:r>
      <w:r w:rsidR="002551D0">
        <w:rPr>
          <w:rFonts w:ascii="仿宋" w:eastAsia="仿宋" w:hAnsi="仿宋" w:hint="eastAsia"/>
          <w:sz w:val="30"/>
          <w:szCs w:val="30"/>
        </w:rPr>
        <w:t>，并对</w:t>
      </w:r>
      <w:proofErr w:type="gramStart"/>
      <w:r w:rsidR="002551D0">
        <w:rPr>
          <w:rFonts w:ascii="仿宋" w:eastAsia="仿宋" w:hAnsi="仿宋" w:hint="eastAsia"/>
          <w:sz w:val="30"/>
          <w:szCs w:val="30"/>
        </w:rPr>
        <w:t>往期数据</w:t>
      </w:r>
      <w:proofErr w:type="gramEnd"/>
      <w:r w:rsidR="002551D0">
        <w:rPr>
          <w:rFonts w:ascii="仿宋" w:eastAsia="仿宋" w:hAnsi="仿宋" w:hint="eastAsia"/>
          <w:sz w:val="30"/>
          <w:szCs w:val="30"/>
        </w:rPr>
        <w:t>进行</w:t>
      </w:r>
      <w:r w:rsidR="0029795D">
        <w:rPr>
          <w:rFonts w:ascii="仿宋" w:eastAsia="仿宋" w:hAnsi="仿宋" w:hint="eastAsia"/>
          <w:sz w:val="30"/>
          <w:szCs w:val="30"/>
        </w:rPr>
        <w:t>相应</w:t>
      </w:r>
      <w:r w:rsidR="002551D0">
        <w:rPr>
          <w:rFonts w:ascii="仿宋" w:eastAsia="仿宋" w:hAnsi="仿宋" w:hint="eastAsia"/>
          <w:sz w:val="30"/>
          <w:szCs w:val="30"/>
        </w:rPr>
        <w:t>调整</w:t>
      </w:r>
      <w:r>
        <w:rPr>
          <w:rFonts w:ascii="仿宋" w:eastAsia="仿宋" w:hAnsi="仿宋" w:hint="eastAsia"/>
          <w:sz w:val="30"/>
          <w:szCs w:val="30"/>
        </w:rPr>
        <w:t>。</w:t>
      </w:r>
      <w:r w:rsidR="0029795D">
        <w:rPr>
          <w:rFonts w:ascii="仿宋" w:eastAsia="仿宋" w:hAnsi="仿宋" w:hint="eastAsia"/>
          <w:sz w:val="30"/>
          <w:szCs w:val="30"/>
        </w:rPr>
        <w:t>经统计</w:t>
      </w:r>
      <w:r w:rsidR="00AE582A">
        <w:rPr>
          <w:rFonts w:ascii="仿宋" w:eastAsia="仿宋" w:hAnsi="仿宋" w:hint="eastAsia"/>
          <w:sz w:val="30"/>
          <w:szCs w:val="30"/>
        </w:rPr>
        <w:t>，</w:t>
      </w:r>
      <w:r w:rsidR="006259D9">
        <w:rPr>
          <w:rFonts w:ascii="仿宋" w:eastAsia="仿宋" w:hAnsi="仿宋" w:hint="eastAsia"/>
          <w:sz w:val="30"/>
          <w:szCs w:val="30"/>
        </w:rPr>
        <w:t>截止2016年</w:t>
      </w:r>
      <w:r w:rsidR="00972A5C">
        <w:rPr>
          <w:rFonts w:ascii="仿宋" w:eastAsia="仿宋" w:hAnsi="仿宋" w:hint="eastAsia"/>
          <w:sz w:val="30"/>
          <w:szCs w:val="30"/>
        </w:rPr>
        <w:t>三</w:t>
      </w:r>
      <w:r w:rsidR="006259D9">
        <w:rPr>
          <w:rFonts w:ascii="仿宋" w:eastAsia="仿宋" w:hAnsi="仿宋" w:hint="eastAsia"/>
          <w:sz w:val="30"/>
          <w:szCs w:val="30"/>
        </w:rPr>
        <w:t>季度末，A股上市公司中共</w:t>
      </w:r>
      <w:r w:rsidR="006259D9" w:rsidRPr="00600F32">
        <w:rPr>
          <w:rFonts w:ascii="仿宋" w:eastAsia="仿宋" w:hAnsi="仿宋" w:hint="eastAsia"/>
          <w:color w:val="000000" w:themeColor="text1"/>
          <w:sz w:val="30"/>
          <w:szCs w:val="30"/>
        </w:rPr>
        <w:t>有</w:t>
      </w:r>
      <w:r w:rsidR="00FA0307" w:rsidRPr="00600F32">
        <w:rPr>
          <w:rFonts w:ascii="仿宋" w:eastAsia="仿宋" w:hAnsi="仿宋"/>
          <w:color w:val="000000" w:themeColor="text1"/>
          <w:sz w:val="30"/>
          <w:szCs w:val="30"/>
        </w:rPr>
        <w:t>1106</w:t>
      </w:r>
      <w:r w:rsidR="006259D9" w:rsidRPr="00600F32">
        <w:rPr>
          <w:rFonts w:ascii="仿宋" w:eastAsia="仿宋" w:hAnsi="仿宋" w:hint="eastAsia"/>
          <w:color w:val="000000" w:themeColor="text1"/>
          <w:sz w:val="30"/>
          <w:szCs w:val="30"/>
        </w:rPr>
        <w:t>家战略性新兴产业企业，占上市公司总体的</w:t>
      </w:r>
      <w:r w:rsidR="006259D9" w:rsidRPr="00600F32">
        <w:rPr>
          <w:rFonts w:ascii="仿宋" w:eastAsia="仿宋" w:hAnsi="仿宋"/>
          <w:color w:val="000000" w:themeColor="text1"/>
          <w:sz w:val="30"/>
          <w:szCs w:val="30"/>
        </w:rPr>
        <w:t>3</w:t>
      </w:r>
      <w:r w:rsidR="00FA0307" w:rsidRPr="00600F32">
        <w:rPr>
          <w:rFonts w:ascii="仿宋" w:eastAsia="仿宋" w:hAnsi="仿宋"/>
          <w:color w:val="000000" w:themeColor="text1"/>
          <w:sz w:val="30"/>
          <w:szCs w:val="30"/>
        </w:rPr>
        <w:t>7.7</w:t>
      </w:r>
      <w:r w:rsidR="006259D9" w:rsidRPr="00600F32">
        <w:rPr>
          <w:rFonts w:ascii="仿宋" w:eastAsia="仿宋" w:hAnsi="仿宋"/>
          <w:color w:val="000000" w:themeColor="text1"/>
          <w:sz w:val="30"/>
          <w:szCs w:val="30"/>
        </w:rPr>
        <w:t>%</w:t>
      </w:r>
      <w:r w:rsidR="00C824DC">
        <w:rPr>
          <w:rFonts w:ascii="仿宋" w:eastAsia="仿宋" w:hAnsi="仿宋" w:hint="eastAsia"/>
          <w:sz w:val="30"/>
          <w:szCs w:val="30"/>
        </w:rPr>
        <w:t>，</w:t>
      </w:r>
      <w:r w:rsidR="00C824DC" w:rsidRPr="00600F32">
        <w:rPr>
          <w:rFonts w:ascii="仿宋" w:eastAsia="仿宋" w:hAnsi="仿宋" w:hint="eastAsia"/>
          <w:sz w:val="30"/>
          <w:szCs w:val="30"/>
        </w:rPr>
        <w:t>其中，</w:t>
      </w:r>
      <w:r w:rsidR="006259D9" w:rsidRPr="00C824DC">
        <w:rPr>
          <w:rFonts w:ascii="仿宋" w:eastAsia="仿宋" w:hAnsi="仿宋" w:hint="eastAsia"/>
          <w:sz w:val="30"/>
          <w:szCs w:val="30"/>
        </w:rPr>
        <w:t>主板、创业板</w:t>
      </w:r>
      <w:r w:rsidR="00C824DC" w:rsidRPr="00600F32">
        <w:rPr>
          <w:rFonts w:ascii="仿宋" w:eastAsia="仿宋" w:hAnsi="仿宋" w:hint="eastAsia"/>
          <w:sz w:val="30"/>
          <w:szCs w:val="30"/>
        </w:rPr>
        <w:t>以及</w:t>
      </w:r>
      <w:r w:rsidR="006259D9" w:rsidRPr="00C824DC">
        <w:rPr>
          <w:rFonts w:ascii="仿宋" w:eastAsia="仿宋" w:hAnsi="仿宋" w:hint="eastAsia"/>
          <w:sz w:val="30"/>
          <w:szCs w:val="30"/>
        </w:rPr>
        <w:t>中小板</w:t>
      </w:r>
      <w:r w:rsidR="00C824DC" w:rsidRPr="00600F32">
        <w:rPr>
          <w:rFonts w:ascii="仿宋" w:eastAsia="仿宋" w:hAnsi="仿宋" w:hint="eastAsia"/>
          <w:sz w:val="30"/>
          <w:szCs w:val="30"/>
        </w:rPr>
        <w:t>中</w:t>
      </w:r>
      <w:r w:rsidR="006259D9" w:rsidRPr="00C824DC">
        <w:rPr>
          <w:rFonts w:ascii="仿宋" w:eastAsia="仿宋" w:hAnsi="仿宋" w:hint="eastAsia"/>
          <w:sz w:val="30"/>
          <w:szCs w:val="30"/>
        </w:rPr>
        <w:t>分别</w:t>
      </w:r>
      <w:r w:rsidR="00C824DC">
        <w:rPr>
          <w:rFonts w:ascii="仿宋" w:eastAsia="仿宋" w:hAnsi="仿宋" w:hint="eastAsia"/>
          <w:sz w:val="30"/>
          <w:szCs w:val="30"/>
        </w:rPr>
        <w:t>有</w:t>
      </w:r>
      <w:r w:rsidR="00B6793D">
        <w:rPr>
          <w:rFonts w:ascii="仿宋" w:eastAsia="仿宋" w:hAnsi="仿宋" w:hint="eastAsia"/>
          <w:sz w:val="30"/>
          <w:szCs w:val="30"/>
        </w:rPr>
        <w:t>4</w:t>
      </w:r>
      <w:r w:rsidR="00B6793D">
        <w:rPr>
          <w:rFonts w:ascii="仿宋" w:eastAsia="仿宋" w:hAnsi="仿宋"/>
          <w:sz w:val="30"/>
          <w:szCs w:val="30"/>
        </w:rPr>
        <w:t>30</w:t>
      </w:r>
      <w:r w:rsidR="006259D9" w:rsidRPr="00C824DC">
        <w:rPr>
          <w:rFonts w:ascii="仿宋" w:eastAsia="仿宋" w:hAnsi="仿宋" w:hint="eastAsia"/>
          <w:sz w:val="30"/>
          <w:szCs w:val="30"/>
        </w:rPr>
        <w:t>家、</w:t>
      </w:r>
      <w:r w:rsidR="00B6793D">
        <w:rPr>
          <w:rFonts w:ascii="仿宋" w:eastAsia="仿宋" w:hAnsi="仿宋"/>
          <w:sz w:val="30"/>
          <w:szCs w:val="30"/>
        </w:rPr>
        <w:t>371</w:t>
      </w:r>
      <w:r w:rsidR="006259D9" w:rsidRPr="00C824DC">
        <w:rPr>
          <w:rFonts w:ascii="仿宋" w:eastAsia="仿宋" w:hAnsi="仿宋" w:hint="eastAsia"/>
          <w:sz w:val="30"/>
          <w:szCs w:val="30"/>
        </w:rPr>
        <w:t>家以及</w:t>
      </w:r>
      <w:r w:rsidR="00B6793D">
        <w:rPr>
          <w:rFonts w:ascii="仿宋" w:eastAsia="仿宋" w:hAnsi="仿宋"/>
          <w:sz w:val="30"/>
          <w:szCs w:val="30"/>
        </w:rPr>
        <w:t>305</w:t>
      </w:r>
      <w:r w:rsidR="006259D9" w:rsidRPr="00C824DC">
        <w:rPr>
          <w:rFonts w:ascii="仿宋" w:eastAsia="仿宋" w:hAnsi="仿宋" w:hint="eastAsia"/>
          <w:sz w:val="30"/>
          <w:szCs w:val="30"/>
        </w:rPr>
        <w:t>家，</w:t>
      </w:r>
      <w:r w:rsidR="00C824DC" w:rsidRPr="00600F32">
        <w:rPr>
          <w:rFonts w:ascii="仿宋" w:eastAsia="仿宋" w:hAnsi="仿宋" w:hint="eastAsia"/>
          <w:sz w:val="30"/>
          <w:szCs w:val="30"/>
        </w:rPr>
        <w:t>各</w:t>
      </w:r>
      <w:r w:rsidR="00C824DC" w:rsidRPr="00600F32">
        <w:rPr>
          <w:rFonts w:ascii="仿宋" w:eastAsia="仿宋" w:hAnsi="仿宋"/>
          <w:sz w:val="30"/>
          <w:szCs w:val="30"/>
        </w:rPr>
        <w:t>板块中</w:t>
      </w:r>
      <w:r w:rsidR="00C824DC" w:rsidRPr="00600F32">
        <w:rPr>
          <w:rFonts w:ascii="仿宋" w:eastAsia="仿宋" w:hAnsi="仿宋" w:hint="eastAsia"/>
          <w:sz w:val="30"/>
          <w:szCs w:val="30"/>
        </w:rPr>
        <w:t>战略性新兴产业上市公司</w:t>
      </w:r>
      <w:r w:rsidR="006259D9" w:rsidRPr="00C824DC">
        <w:rPr>
          <w:rFonts w:ascii="仿宋" w:eastAsia="仿宋" w:hAnsi="仿宋" w:hint="eastAsia"/>
          <w:sz w:val="30"/>
          <w:szCs w:val="30"/>
        </w:rPr>
        <w:t>占比分别达到了</w:t>
      </w:r>
      <w:r w:rsidR="00B6793D">
        <w:rPr>
          <w:rFonts w:ascii="仿宋" w:eastAsia="仿宋" w:hAnsi="仿宋"/>
          <w:sz w:val="30"/>
          <w:szCs w:val="30"/>
        </w:rPr>
        <w:t>27.0</w:t>
      </w:r>
      <w:r w:rsidR="006259D9" w:rsidRPr="00C824DC">
        <w:rPr>
          <w:rFonts w:ascii="仿宋" w:eastAsia="仿宋" w:hAnsi="仿宋"/>
          <w:sz w:val="30"/>
          <w:szCs w:val="30"/>
        </w:rPr>
        <w:t>%、</w:t>
      </w:r>
      <w:r w:rsidR="00B6793D">
        <w:rPr>
          <w:rFonts w:ascii="仿宋" w:eastAsia="仿宋" w:hAnsi="仿宋"/>
          <w:sz w:val="30"/>
          <w:szCs w:val="30"/>
        </w:rPr>
        <w:t>68.7</w:t>
      </w:r>
      <w:r w:rsidR="006259D9" w:rsidRPr="00C824DC">
        <w:rPr>
          <w:rFonts w:ascii="仿宋" w:eastAsia="仿宋" w:hAnsi="仿宋"/>
          <w:sz w:val="30"/>
          <w:szCs w:val="30"/>
        </w:rPr>
        <w:t>%以及</w:t>
      </w:r>
      <w:r w:rsidR="00B6793D">
        <w:rPr>
          <w:rFonts w:ascii="仿宋" w:eastAsia="仿宋" w:hAnsi="仿宋"/>
          <w:sz w:val="30"/>
          <w:szCs w:val="30"/>
        </w:rPr>
        <w:t>38.1</w:t>
      </w:r>
      <w:r w:rsidR="006259D9" w:rsidRPr="00C824DC">
        <w:rPr>
          <w:rFonts w:ascii="仿宋" w:eastAsia="仿宋" w:hAnsi="仿宋"/>
          <w:sz w:val="30"/>
          <w:szCs w:val="30"/>
        </w:rPr>
        <w:t>%。</w:t>
      </w:r>
      <w:r w:rsidR="00972A5C">
        <w:rPr>
          <w:rFonts w:ascii="仿宋" w:eastAsia="仿宋" w:hAnsi="仿宋" w:hint="eastAsia"/>
          <w:sz w:val="30"/>
          <w:szCs w:val="30"/>
        </w:rPr>
        <w:t>三季度</w:t>
      </w:r>
      <w:r w:rsidR="006259D9" w:rsidRPr="00335FC9">
        <w:rPr>
          <w:rFonts w:ascii="仿宋" w:eastAsia="仿宋" w:hAnsi="仿宋" w:hint="eastAsia"/>
          <w:sz w:val="30"/>
          <w:szCs w:val="30"/>
        </w:rPr>
        <w:t>，</w:t>
      </w:r>
      <w:r w:rsidR="00EA5799" w:rsidRPr="00FA707E">
        <w:rPr>
          <w:rFonts w:ascii="仿宋" w:eastAsia="仿宋" w:hAnsi="仿宋" w:hint="eastAsia"/>
          <w:sz w:val="30"/>
          <w:szCs w:val="30"/>
        </w:rPr>
        <w:t>战略性新兴产业上市公司</w:t>
      </w:r>
      <w:proofErr w:type="gramStart"/>
      <w:r w:rsidR="00EA5799">
        <w:rPr>
          <w:rFonts w:ascii="仿宋" w:eastAsia="仿宋" w:hAnsi="仿宋" w:hint="eastAsia"/>
          <w:sz w:val="30"/>
          <w:szCs w:val="30"/>
        </w:rPr>
        <w:t>延续平稳</w:t>
      </w:r>
      <w:proofErr w:type="gramEnd"/>
      <w:r w:rsidR="00EA5799" w:rsidRPr="00FA707E">
        <w:rPr>
          <w:rFonts w:ascii="仿宋" w:eastAsia="仿宋" w:hAnsi="仿宋" w:hint="eastAsia"/>
          <w:sz w:val="30"/>
          <w:szCs w:val="30"/>
        </w:rPr>
        <w:t>发展态势，增速</w:t>
      </w:r>
      <w:r w:rsidR="00EA5799">
        <w:rPr>
          <w:rFonts w:ascii="仿宋" w:eastAsia="仿宋" w:hAnsi="仿宋" w:hint="eastAsia"/>
          <w:sz w:val="30"/>
          <w:szCs w:val="30"/>
        </w:rPr>
        <w:t>大幅高于</w:t>
      </w:r>
      <w:r w:rsidR="00EA5799" w:rsidRPr="00FA707E">
        <w:rPr>
          <w:rFonts w:ascii="仿宋" w:eastAsia="仿宋" w:hAnsi="仿宋" w:hint="eastAsia"/>
          <w:sz w:val="30"/>
          <w:szCs w:val="30"/>
        </w:rPr>
        <w:t>上市公司总体</w:t>
      </w:r>
      <w:r w:rsidR="00EA5799">
        <w:rPr>
          <w:rFonts w:ascii="仿宋" w:eastAsia="仿宋" w:hAnsi="仿宋" w:hint="eastAsia"/>
          <w:sz w:val="30"/>
          <w:szCs w:val="30"/>
        </w:rPr>
        <w:t>，</w:t>
      </w:r>
      <w:r w:rsidR="00CB716E">
        <w:rPr>
          <w:rFonts w:ascii="仿宋" w:eastAsia="仿宋" w:hAnsi="仿宋" w:hint="eastAsia"/>
          <w:sz w:val="30"/>
          <w:szCs w:val="30"/>
        </w:rPr>
        <w:t>重点领域</w:t>
      </w:r>
      <w:r w:rsidR="00D22873" w:rsidRPr="00D22873">
        <w:rPr>
          <w:rFonts w:ascii="仿宋" w:eastAsia="仿宋" w:hAnsi="仿宋" w:hint="eastAsia"/>
          <w:sz w:val="30"/>
          <w:szCs w:val="30"/>
        </w:rPr>
        <w:t>稳步攀升，</w:t>
      </w:r>
      <w:r w:rsidR="002E3B03" w:rsidRPr="007334AF">
        <w:rPr>
          <w:rFonts w:ascii="仿宋" w:eastAsia="仿宋" w:hAnsi="仿宋" w:hint="eastAsia"/>
          <w:sz w:val="30"/>
          <w:szCs w:val="30"/>
        </w:rPr>
        <w:t>中部地区为产业发展</w:t>
      </w:r>
      <w:r w:rsidR="007334AF" w:rsidRPr="00600F32">
        <w:rPr>
          <w:rFonts w:ascii="仿宋" w:eastAsia="仿宋" w:hAnsi="仿宋" w:hint="eastAsia"/>
          <w:sz w:val="30"/>
          <w:szCs w:val="30"/>
        </w:rPr>
        <w:t>引领区域</w:t>
      </w:r>
      <w:r w:rsidR="002E3B03">
        <w:rPr>
          <w:rFonts w:ascii="仿宋" w:eastAsia="仿宋" w:hAnsi="仿宋" w:hint="eastAsia"/>
          <w:sz w:val="30"/>
          <w:szCs w:val="30"/>
        </w:rPr>
        <w:t>，</w:t>
      </w:r>
      <w:r w:rsidR="002E3B03" w:rsidRPr="002E3B03">
        <w:rPr>
          <w:rFonts w:ascii="仿宋" w:eastAsia="仿宋" w:hAnsi="仿宋" w:hint="eastAsia"/>
          <w:sz w:val="30"/>
          <w:szCs w:val="30"/>
        </w:rPr>
        <w:t>民营企业快速壮大</w:t>
      </w:r>
      <w:r w:rsidR="00A50598">
        <w:rPr>
          <w:rFonts w:ascii="仿宋" w:eastAsia="仿宋" w:hAnsi="仿宋" w:hint="eastAsia"/>
          <w:sz w:val="30"/>
          <w:szCs w:val="30"/>
        </w:rPr>
        <w:t>且</w:t>
      </w:r>
      <w:r w:rsidR="002E3B03" w:rsidRPr="002E3B03">
        <w:rPr>
          <w:rFonts w:ascii="仿宋" w:eastAsia="仿宋" w:hAnsi="仿宋" w:hint="eastAsia"/>
          <w:sz w:val="30"/>
          <w:szCs w:val="30"/>
        </w:rPr>
        <w:t>业绩表现更胜一筹，</w:t>
      </w:r>
      <w:r w:rsidR="00295F5E">
        <w:rPr>
          <w:rFonts w:ascii="仿宋" w:eastAsia="仿宋" w:hAnsi="仿宋" w:hint="eastAsia"/>
          <w:sz w:val="30"/>
          <w:szCs w:val="30"/>
        </w:rPr>
        <w:t>战略性新兴产业</w:t>
      </w:r>
      <w:r w:rsidR="00EA5799">
        <w:rPr>
          <w:rFonts w:ascii="仿宋" w:eastAsia="仿宋" w:hAnsi="仿宋" w:hint="eastAsia"/>
          <w:sz w:val="30"/>
          <w:szCs w:val="30"/>
        </w:rPr>
        <w:t>经济增长带动作用进一步提升</w:t>
      </w:r>
      <w:r w:rsidR="00EA5799" w:rsidRPr="003665B1">
        <w:rPr>
          <w:rFonts w:ascii="仿宋" w:eastAsia="仿宋" w:hAnsi="仿宋" w:hint="eastAsia"/>
          <w:sz w:val="30"/>
          <w:szCs w:val="30"/>
        </w:rPr>
        <w:t>。</w:t>
      </w:r>
    </w:p>
    <w:p w14:paraId="458E1811" w14:textId="4F430468" w:rsidR="006259D9" w:rsidRPr="0091712D" w:rsidRDefault="006259D9" w:rsidP="00970D77">
      <w:pPr>
        <w:spacing w:beforeLines="100" w:before="312"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91712D">
        <w:rPr>
          <w:rFonts w:ascii="仿宋" w:eastAsia="仿宋" w:hAnsi="仿宋" w:hint="eastAsia"/>
          <w:b/>
          <w:sz w:val="30"/>
          <w:szCs w:val="30"/>
        </w:rPr>
        <w:t>一、战略性新兴产业上市公司</w:t>
      </w:r>
      <w:r w:rsidR="0091712D">
        <w:rPr>
          <w:rFonts w:ascii="仿宋" w:eastAsia="仿宋" w:hAnsi="仿宋" w:hint="eastAsia"/>
          <w:b/>
          <w:sz w:val="30"/>
          <w:szCs w:val="30"/>
        </w:rPr>
        <w:t>稳步发展</w:t>
      </w:r>
    </w:p>
    <w:p w14:paraId="773E1971" w14:textId="439CD445" w:rsidR="006259D9" w:rsidRPr="006356CF" w:rsidRDefault="006259D9" w:rsidP="00970D77">
      <w:pPr>
        <w:spacing w:beforeLines="100" w:before="312"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6356CF">
        <w:rPr>
          <w:rFonts w:ascii="仿宋" w:eastAsia="仿宋" w:hAnsi="仿宋" w:hint="eastAsia"/>
          <w:b/>
          <w:sz w:val="30"/>
          <w:szCs w:val="30"/>
        </w:rPr>
        <w:t>（一）战略性新兴产业上市公司业绩</w:t>
      </w:r>
      <w:r w:rsidR="00877546" w:rsidRPr="006356CF">
        <w:rPr>
          <w:rFonts w:ascii="仿宋" w:eastAsia="仿宋" w:hAnsi="仿宋" w:hint="eastAsia"/>
          <w:b/>
          <w:sz w:val="30"/>
          <w:szCs w:val="30"/>
        </w:rPr>
        <w:t>平稳</w:t>
      </w:r>
      <w:r w:rsidR="006356CF">
        <w:rPr>
          <w:rFonts w:ascii="仿宋" w:eastAsia="仿宋" w:hAnsi="仿宋" w:hint="eastAsia"/>
          <w:b/>
          <w:sz w:val="30"/>
          <w:szCs w:val="30"/>
        </w:rPr>
        <w:t>增长</w:t>
      </w:r>
    </w:p>
    <w:p w14:paraId="03F7D6C3" w14:textId="4859B9EA" w:rsidR="006259D9" w:rsidRDefault="006259D9" w:rsidP="0078280A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2016</w:t>
      </w:r>
      <w:r w:rsidR="00A052C1">
        <w:rPr>
          <w:rFonts w:ascii="仿宋" w:eastAsia="仿宋" w:hAnsi="仿宋" w:hint="eastAsia"/>
          <w:sz w:val="30"/>
          <w:szCs w:val="30"/>
        </w:rPr>
        <w:t>年三季度</w:t>
      </w:r>
      <w:r w:rsidRPr="00000D33">
        <w:rPr>
          <w:rFonts w:ascii="仿宋" w:eastAsia="仿宋" w:hAnsi="仿宋" w:hint="eastAsia"/>
          <w:sz w:val="30"/>
          <w:szCs w:val="30"/>
        </w:rPr>
        <w:t>，</w:t>
      </w:r>
      <w:r w:rsidR="007011C4">
        <w:rPr>
          <w:rFonts w:ascii="仿宋" w:eastAsia="仿宋" w:hAnsi="仿宋" w:hint="eastAsia"/>
          <w:sz w:val="30"/>
          <w:szCs w:val="30"/>
        </w:rPr>
        <w:t>在国民经济运行总体平稳的大环境下（当季GDP同比增速连续三季度维持在6.7%的水平），</w:t>
      </w:r>
      <w:r w:rsidR="006356CF">
        <w:rPr>
          <w:rFonts w:ascii="仿宋" w:eastAsia="仿宋" w:hAnsi="仿宋" w:hint="eastAsia"/>
          <w:sz w:val="30"/>
          <w:szCs w:val="30"/>
        </w:rPr>
        <w:t>战略性新兴产业</w:t>
      </w:r>
      <w:r w:rsidR="006356CF" w:rsidRPr="006F000C">
        <w:rPr>
          <w:rFonts w:ascii="仿宋" w:eastAsia="仿宋" w:hAnsi="仿宋" w:hint="eastAsia"/>
          <w:sz w:val="30"/>
          <w:szCs w:val="30"/>
        </w:rPr>
        <w:t>上市公司</w:t>
      </w:r>
      <w:r w:rsidR="006356CF" w:rsidRPr="008C7AD9">
        <w:rPr>
          <w:rFonts w:ascii="仿宋" w:eastAsia="仿宋" w:hAnsi="仿宋" w:hint="eastAsia"/>
          <w:sz w:val="30"/>
          <w:szCs w:val="30"/>
        </w:rPr>
        <w:t>经营</w:t>
      </w:r>
      <w:r w:rsidR="006356CF" w:rsidRPr="006F000C">
        <w:rPr>
          <w:rFonts w:ascii="仿宋" w:eastAsia="仿宋" w:hAnsi="仿宋" w:hint="eastAsia"/>
          <w:sz w:val="30"/>
          <w:szCs w:val="30"/>
        </w:rPr>
        <w:t>业绩在</w:t>
      </w:r>
      <w:r w:rsidR="006356CF">
        <w:rPr>
          <w:rFonts w:ascii="仿宋" w:eastAsia="仿宋" w:hAnsi="仿宋" w:hint="eastAsia"/>
          <w:sz w:val="30"/>
          <w:szCs w:val="30"/>
        </w:rPr>
        <w:t>二</w:t>
      </w:r>
      <w:r w:rsidR="006356CF" w:rsidRPr="006F000C">
        <w:rPr>
          <w:rFonts w:ascii="仿宋" w:eastAsia="仿宋" w:hAnsi="仿宋" w:hint="eastAsia"/>
          <w:sz w:val="30"/>
          <w:szCs w:val="30"/>
        </w:rPr>
        <w:t>季度基础上</w:t>
      </w:r>
      <w:r w:rsidR="006356CF">
        <w:rPr>
          <w:rFonts w:ascii="仿宋" w:eastAsia="仿宋" w:hAnsi="仿宋" w:hint="eastAsia"/>
          <w:sz w:val="30"/>
          <w:szCs w:val="30"/>
        </w:rPr>
        <w:t>平稳增长，</w:t>
      </w:r>
      <w:r w:rsidR="00B652D2">
        <w:rPr>
          <w:rFonts w:ascii="仿宋" w:eastAsia="仿宋" w:hAnsi="仿宋" w:hint="eastAsia"/>
          <w:sz w:val="30"/>
          <w:szCs w:val="30"/>
        </w:rPr>
        <w:t>持续发挥引领</w:t>
      </w:r>
      <w:r w:rsidR="00C86062">
        <w:rPr>
          <w:rFonts w:ascii="仿宋" w:eastAsia="仿宋" w:hAnsi="仿宋" w:hint="eastAsia"/>
          <w:sz w:val="30"/>
          <w:szCs w:val="30"/>
        </w:rPr>
        <w:t>带动</w:t>
      </w:r>
      <w:r w:rsidR="00B652D2">
        <w:rPr>
          <w:rFonts w:ascii="仿宋" w:eastAsia="仿宋" w:hAnsi="仿宋" w:hint="eastAsia"/>
          <w:sz w:val="30"/>
          <w:szCs w:val="30"/>
        </w:rPr>
        <w:t>作用</w:t>
      </w:r>
      <w:r w:rsidRPr="008C7AD9">
        <w:rPr>
          <w:rFonts w:ascii="仿宋" w:eastAsia="仿宋" w:hAnsi="仿宋" w:hint="eastAsia"/>
          <w:sz w:val="30"/>
          <w:szCs w:val="30"/>
        </w:rPr>
        <w:t>。</w:t>
      </w:r>
      <w:r w:rsidR="000970E1">
        <w:rPr>
          <w:rFonts w:ascii="仿宋" w:eastAsia="仿宋" w:hAnsi="仿宋" w:hint="eastAsia"/>
          <w:sz w:val="30"/>
          <w:szCs w:val="30"/>
        </w:rPr>
        <w:t>本期</w:t>
      </w:r>
      <w:r w:rsidR="006A5359">
        <w:rPr>
          <w:rFonts w:ascii="仿宋" w:eastAsia="仿宋" w:hAnsi="仿宋" w:hint="eastAsia"/>
          <w:sz w:val="30"/>
          <w:szCs w:val="30"/>
        </w:rPr>
        <w:t>，</w:t>
      </w:r>
      <w:r w:rsidRPr="006F000C">
        <w:rPr>
          <w:rFonts w:ascii="仿宋" w:eastAsia="仿宋" w:hAnsi="仿宋" w:hint="eastAsia"/>
          <w:sz w:val="30"/>
          <w:szCs w:val="30"/>
        </w:rPr>
        <w:t>上市公司整体</w:t>
      </w:r>
      <w:r w:rsidR="006A5359">
        <w:rPr>
          <w:rFonts w:ascii="仿宋" w:eastAsia="仿宋" w:hAnsi="仿宋" w:hint="eastAsia"/>
          <w:sz w:val="30"/>
          <w:szCs w:val="30"/>
        </w:rPr>
        <w:t>业绩小幅回升，</w:t>
      </w:r>
      <w:r w:rsidRPr="008C7AD9">
        <w:rPr>
          <w:rFonts w:ascii="仿宋" w:eastAsia="仿宋" w:hAnsi="仿宋" w:hint="eastAsia"/>
          <w:sz w:val="30"/>
          <w:szCs w:val="30"/>
        </w:rPr>
        <w:t>营收增速为</w:t>
      </w:r>
      <w:r w:rsidR="00AB51E8">
        <w:rPr>
          <w:rFonts w:ascii="仿宋" w:eastAsia="仿宋" w:hAnsi="仿宋" w:hint="eastAsia"/>
          <w:sz w:val="30"/>
          <w:szCs w:val="30"/>
        </w:rPr>
        <w:t>4.9</w:t>
      </w:r>
      <w:r w:rsidRPr="008C7AD9">
        <w:rPr>
          <w:rFonts w:ascii="仿宋" w:eastAsia="仿宋" w:hAnsi="仿宋"/>
          <w:sz w:val="30"/>
          <w:szCs w:val="30"/>
        </w:rPr>
        <w:t>%，</w:t>
      </w:r>
      <w:r w:rsidR="00C43B15" w:rsidRPr="00181B9E">
        <w:rPr>
          <w:rFonts w:ascii="仿宋" w:eastAsia="仿宋" w:hAnsi="仿宋" w:hint="eastAsia"/>
          <w:sz w:val="30"/>
          <w:szCs w:val="30"/>
        </w:rPr>
        <w:t>较上半年营收增速</w:t>
      </w:r>
      <w:r w:rsidR="009933F7">
        <w:rPr>
          <w:rFonts w:ascii="仿宋" w:eastAsia="仿宋" w:hAnsi="仿宋" w:hint="eastAsia"/>
          <w:sz w:val="30"/>
          <w:szCs w:val="30"/>
        </w:rPr>
        <w:t>上升</w:t>
      </w:r>
      <w:r w:rsidR="00C43B15">
        <w:rPr>
          <w:rFonts w:ascii="仿宋" w:eastAsia="仿宋" w:hAnsi="仿宋"/>
          <w:sz w:val="30"/>
          <w:szCs w:val="30"/>
        </w:rPr>
        <w:t>1.</w:t>
      </w:r>
      <w:r w:rsidR="00C43B15">
        <w:rPr>
          <w:rFonts w:ascii="仿宋" w:eastAsia="仿宋" w:hAnsi="仿宋" w:hint="eastAsia"/>
          <w:sz w:val="30"/>
          <w:szCs w:val="30"/>
        </w:rPr>
        <w:t>5</w:t>
      </w:r>
      <w:r w:rsidR="00C43B15" w:rsidRPr="00181B9E">
        <w:rPr>
          <w:rFonts w:ascii="仿宋" w:eastAsia="仿宋" w:hAnsi="仿宋" w:hint="eastAsia"/>
          <w:sz w:val="30"/>
          <w:szCs w:val="30"/>
        </w:rPr>
        <w:t>个百分点，</w:t>
      </w:r>
      <w:r w:rsidR="00C43B15">
        <w:rPr>
          <w:rFonts w:ascii="仿宋" w:eastAsia="仿宋" w:hAnsi="仿宋" w:hint="eastAsia"/>
          <w:sz w:val="30"/>
          <w:szCs w:val="30"/>
        </w:rPr>
        <w:t>高</w:t>
      </w:r>
      <w:r w:rsidR="00C43B15" w:rsidRPr="00181B9E">
        <w:rPr>
          <w:rFonts w:ascii="仿宋" w:eastAsia="仿宋" w:hAnsi="仿宋" w:hint="eastAsia"/>
          <w:sz w:val="30"/>
          <w:szCs w:val="30"/>
        </w:rPr>
        <w:t>于去年同期</w:t>
      </w:r>
      <w:r w:rsidR="00C43B15">
        <w:rPr>
          <w:rFonts w:ascii="仿宋" w:eastAsia="仿宋" w:hAnsi="仿宋" w:hint="eastAsia"/>
          <w:sz w:val="30"/>
          <w:szCs w:val="30"/>
        </w:rPr>
        <w:t>4.4</w:t>
      </w:r>
      <w:r w:rsidR="00C43B15" w:rsidRPr="00181B9E">
        <w:rPr>
          <w:rFonts w:ascii="仿宋" w:eastAsia="仿宋" w:hAnsi="仿宋" w:hint="eastAsia"/>
          <w:sz w:val="30"/>
          <w:szCs w:val="30"/>
        </w:rPr>
        <w:t>个百分点。</w:t>
      </w:r>
      <w:r w:rsidR="007011C4">
        <w:rPr>
          <w:rFonts w:ascii="仿宋" w:eastAsia="仿宋" w:hAnsi="仿宋" w:hint="eastAsia"/>
          <w:sz w:val="30"/>
          <w:szCs w:val="30"/>
        </w:rPr>
        <w:t>前三季度</w:t>
      </w:r>
      <w:r w:rsidRPr="008C7AD9">
        <w:rPr>
          <w:rFonts w:ascii="仿宋" w:eastAsia="仿宋" w:hAnsi="仿宋" w:hint="eastAsia"/>
          <w:sz w:val="30"/>
          <w:szCs w:val="30"/>
        </w:rPr>
        <w:t>，</w:t>
      </w:r>
      <w:r w:rsidRPr="00642A16">
        <w:rPr>
          <w:rFonts w:ascii="仿宋" w:eastAsia="仿宋" w:hAnsi="仿宋" w:hint="eastAsia"/>
          <w:sz w:val="30"/>
          <w:szCs w:val="30"/>
        </w:rPr>
        <w:t>战略性新兴产业上市公司实现营收</w:t>
      </w:r>
      <w:r w:rsidR="00AE582A" w:rsidRPr="0029795D">
        <w:rPr>
          <w:rFonts w:ascii="仿宋" w:eastAsia="仿宋" w:hAnsi="仿宋" w:hint="eastAsia"/>
          <w:sz w:val="30"/>
          <w:szCs w:val="30"/>
        </w:rPr>
        <w:t>21317.8</w:t>
      </w:r>
      <w:r w:rsidRPr="00642A16">
        <w:rPr>
          <w:rFonts w:ascii="仿宋" w:eastAsia="仿宋" w:hAnsi="仿宋" w:hint="eastAsia"/>
          <w:sz w:val="30"/>
          <w:szCs w:val="30"/>
        </w:rPr>
        <w:t>亿元，</w:t>
      </w:r>
      <w:r w:rsidR="00C43B15" w:rsidRPr="007F1F72">
        <w:rPr>
          <w:rFonts w:ascii="仿宋" w:eastAsia="仿宋" w:hAnsi="仿宋" w:hint="eastAsia"/>
          <w:sz w:val="30"/>
          <w:szCs w:val="30"/>
        </w:rPr>
        <w:t>同比增长</w:t>
      </w:r>
      <w:r w:rsidR="0091335E">
        <w:rPr>
          <w:rFonts w:ascii="仿宋" w:eastAsia="仿宋" w:hAnsi="仿宋"/>
          <w:sz w:val="30"/>
          <w:szCs w:val="30"/>
        </w:rPr>
        <w:t>18.2</w:t>
      </w:r>
      <w:r w:rsidR="00C43B15" w:rsidRPr="007F1F72">
        <w:rPr>
          <w:rFonts w:ascii="仿宋" w:eastAsia="仿宋" w:hAnsi="仿宋"/>
          <w:sz w:val="30"/>
          <w:szCs w:val="30"/>
        </w:rPr>
        <w:t>%，</w:t>
      </w:r>
      <w:r w:rsidR="00696226">
        <w:rPr>
          <w:rFonts w:ascii="仿宋" w:eastAsia="仿宋" w:hAnsi="仿宋" w:hint="eastAsia"/>
          <w:sz w:val="30"/>
          <w:szCs w:val="30"/>
        </w:rPr>
        <w:t>高于上市</w:t>
      </w:r>
      <w:r w:rsidR="00696226">
        <w:rPr>
          <w:rFonts w:ascii="仿宋" w:eastAsia="仿宋" w:hAnsi="仿宋" w:hint="eastAsia"/>
          <w:sz w:val="30"/>
          <w:szCs w:val="30"/>
        </w:rPr>
        <w:lastRenderedPageBreak/>
        <w:t>公司整体</w:t>
      </w:r>
      <w:r w:rsidR="002F5773" w:rsidRPr="002F5773">
        <w:rPr>
          <w:rFonts w:ascii="仿宋" w:eastAsia="仿宋" w:hAnsi="仿宋" w:hint="eastAsia"/>
          <w:sz w:val="30"/>
          <w:szCs w:val="30"/>
        </w:rPr>
        <w:t>13.3</w:t>
      </w:r>
      <w:r w:rsidR="00696226">
        <w:rPr>
          <w:rFonts w:ascii="仿宋" w:eastAsia="仿宋" w:hAnsi="仿宋" w:hint="eastAsia"/>
          <w:sz w:val="30"/>
          <w:szCs w:val="30"/>
        </w:rPr>
        <w:t>个百分点，</w:t>
      </w:r>
      <w:r w:rsidR="00C43B15">
        <w:rPr>
          <w:rFonts w:ascii="仿宋" w:eastAsia="仿宋" w:hAnsi="仿宋" w:hint="eastAsia"/>
          <w:sz w:val="30"/>
          <w:szCs w:val="30"/>
        </w:rPr>
        <w:t>较</w:t>
      </w:r>
      <w:r w:rsidR="0091335E">
        <w:rPr>
          <w:rFonts w:ascii="仿宋" w:eastAsia="仿宋" w:hAnsi="仿宋" w:hint="eastAsia"/>
          <w:sz w:val="30"/>
          <w:szCs w:val="30"/>
        </w:rPr>
        <w:t>去年</w:t>
      </w:r>
      <w:r w:rsidR="0091335E">
        <w:rPr>
          <w:rFonts w:ascii="仿宋" w:eastAsia="仿宋" w:hAnsi="仿宋"/>
          <w:sz w:val="30"/>
          <w:szCs w:val="30"/>
        </w:rPr>
        <w:t>同期</w:t>
      </w:r>
      <w:r w:rsidR="0091335E">
        <w:rPr>
          <w:rFonts w:ascii="仿宋" w:eastAsia="仿宋" w:hAnsi="仿宋" w:hint="eastAsia"/>
          <w:sz w:val="30"/>
          <w:szCs w:val="30"/>
        </w:rPr>
        <w:t>提升</w:t>
      </w:r>
      <w:r w:rsidR="0091335E">
        <w:rPr>
          <w:rFonts w:ascii="仿宋" w:eastAsia="仿宋" w:hAnsi="仿宋"/>
          <w:sz w:val="30"/>
          <w:szCs w:val="30"/>
        </w:rPr>
        <w:t>0.5</w:t>
      </w:r>
      <w:r w:rsidR="00C43B15">
        <w:rPr>
          <w:rFonts w:ascii="仿宋" w:eastAsia="仿宋" w:hAnsi="仿宋" w:hint="eastAsia"/>
          <w:sz w:val="30"/>
          <w:szCs w:val="30"/>
        </w:rPr>
        <w:t>个百分点</w:t>
      </w:r>
      <w:r w:rsidR="00871C16" w:rsidRPr="00684070">
        <w:rPr>
          <w:rFonts w:ascii="仿宋" w:eastAsia="仿宋" w:hAnsi="仿宋" w:hint="eastAsia"/>
          <w:sz w:val="30"/>
          <w:szCs w:val="30"/>
        </w:rPr>
        <w:t>。</w:t>
      </w:r>
      <w:r w:rsidR="00696226" w:rsidRPr="00D13CDA">
        <w:rPr>
          <w:rFonts w:ascii="仿宋" w:eastAsia="仿宋" w:hAnsi="仿宋" w:hint="eastAsia"/>
          <w:sz w:val="30"/>
          <w:szCs w:val="30"/>
        </w:rPr>
        <w:t>（见图1）</w:t>
      </w:r>
    </w:p>
    <w:p w14:paraId="55F6B52E" w14:textId="62352427" w:rsidR="0030101F" w:rsidRDefault="006A5359" w:rsidP="006A5359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b/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690F9599" wp14:editId="21170533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5524500" cy="1724025"/>
            <wp:effectExtent l="0" t="0" r="0" b="0"/>
            <wp:wrapNone/>
            <wp:docPr id="1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18458" w14:textId="04929E36" w:rsidR="006259D9" w:rsidRDefault="006259D9" w:rsidP="006259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0D8F0D9F" w14:textId="6193E8F2" w:rsidR="006259D9" w:rsidRDefault="006259D9" w:rsidP="006259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04980EC9" w14:textId="2F8176F0" w:rsidR="004E28A1" w:rsidRDefault="004E28A1" w:rsidP="004E28A1">
      <w:pPr>
        <w:spacing w:line="360" w:lineRule="auto"/>
        <w:rPr>
          <w:rFonts w:ascii="仿宋" w:eastAsia="仿宋" w:hAnsi="仿宋"/>
          <w:sz w:val="30"/>
          <w:szCs w:val="30"/>
        </w:rPr>
      </w:pPr>
    </w:p>
    <w:p w14:paraId="3D8E2196" w14:textId="4BCBBDBF" w:rsidR="006A5359" w:rsidRDefault="006A5359" w:rsidP="004E28A1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0E9BD" wp14:editId="5ACABF68">
                <wp:simplePos x="0" y="0"/>
                <wp:positionH relativeFrom="column">
                  <wp:posOffset>406400</wp:posOffset>
                </wp:positionH>
                <wp:positionV relativeFrom="paragraph">
                  <wp:posOffset>61595</wp:posOffset>
                </wp:positionV>
                <wp:extent cx="4788535" cy="289560"/>
                <wp:effectExtent l="0" t="0" r="0" b="0"/>
                <wp:wrapNone/>
                <wp:docPr id="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85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BACA2" w14:textId="5627CBC4" w:rsidR="006259D9" w:rsidRPr="00F11A1B" w:rsidRDefault="006259D9" w:rsidP="006259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1A1B">
                              <w:rPr>
                                <w:rFonts w:hint="eastAsia"/>
                                <w:b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A031F3">
                              <w:rPr>
                                <w:b/>
                              </w:rPr>
                              <w:t xml:space="preserve"> </w:t>
                            </w:r>
                            <w:r w:rsidRPr="00F11A1B">
                              <w:rPr>
                                <w:rFonts w:hint="eastAsia"/>
                                <w:b/>
                              </w:rPr>
                              <w:t>战略性新兴产业上市公司营收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累计</w:t>
                            </w:r>
                            <w:r w:rsidRPr="00F11A1B">
                              <w:rPr>
                                <w:rFonts w:hint="eastAsia"/>
                                <w:b/>
                              </w:rPr>
                              <w:t>增速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季度</w:t>
                            </w:r>
                            <w:r w:rsidRPr="00F11A1B">
                              <w:rPr>
                                <w:rFonts w:hint="eastAsia"/>
                                <w:b/>
                              </w:rPr>
                              <w:t>变化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D0E9B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2pt;margin-top:4.85pt;width:377.05pt;height:22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" stroked="f">
                <v:textbox style="mso-fit-shape-to-text:t">
                  <w:txbxContent>
                    <w:p w14:paraId="269BACA2" w14:textId="5627CBC4" w:rsidR="006259D9" w:rsidRPr="00F11A1B" w:rsidRDefault="006259D9" w:rsidP="006259D9">
                      <w:pPr>
                        <w:jc w:val="center"/>
                        <w:rPr>
                          <w:b/>
                        </w:rPr>
                      </w:pPr>
                      <w:r w:rsidRPr="00F11A1B">
                        <w:rPr>
                          <w:rFonts w:hint="eastAsia"/>
                          <w:b/>
                        </w:rPr>
                        <w:t>图</w:t>
                      </w: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A031F3">
                        <w:rPr>
                          <w:b/>
                        </w:rPr>
                        <w:t xml:space="preserve"> </w:t>
                      </w:r>
                      <w:r w:rsidRPr="00F11A1B">
                        <w:rPr>
                          <w:rFonts w:hint="eastAsia"/>
                          <w:b/>
                        </w:rPr>
                        <w:t>战略性新兴产业上市公司营收</w:t>
                      </w:r>
                      <w:r>
                        <w:rPr>
                          <w:rFonts w:hint="eastAsia"/>
                          <w:b/>
                        </w:rPr>
                        <w:t>累计</w:t>
                      </w:r>
                      <w:r w:rsidRPr="00F11A1B">
                        <w:rPr>
                          <w:rFonts w:hint="eastAsia"/>
                          <w:b/>
                        </w:rPr>
                        <w:t>增速</w:t>
                      </w:r>
                      <w:r>
                        <w:rPr>
                          <w:rFonts w:hint="eastAsia"/>
                          <w:b/>
                        </w:rPr>
                        <w:t>季度</w:t>
                      </w:r>
                      <w:r w:rsidRPr="00F11A1B">
                        <w:rPr>
                          <w:rFonts w:hint="eastAsia"/>
                          <w:b/>
                        </w:rPr>
                        <w:t>变化</w:t>
                      </w:r>
                    </w:p>
                  </w:txbxContent>
                </v:textbox>
              </v:shape>
            </w:pict>
          </mc:Fallback>
        </mc:AlternateContent>
      </w:r>
    </w:p>
    <w:p w14:paraId="10AB4592" w14:textId="5F651C3C" w:rsidR="006A5359" w:rsidRPr="004E28A1" w:rsidRDefault="00CC1BC7" w:rsidP="006A5359">
      <w:pPr>
        <w:spacing w:line="360" w:lineRule="auto"/>
        <w:ind w:firstLineChars="200" w:firstLine="562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b/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67F66AD9" wp14:editId="6FEE393E">
            <wp:simplePos x="0" y="0"/>
            <wp:positionH relativeFrom="column">
              <wp:posOffset>-5080</wp:posOffset>
            </wp:positionH>
            <wp:positionV relativeFrom="paragraph">
              <wp:posOffset>1522095</wp:posOffset>
            </wp:positionV>
            <wp:extent cx="5524500" cy="1695450"/>
            <wp:effectExtent l="0" t="0" r="0" b="0"/>
            <wp:wrapNone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80A">
        <w:rPr>
          <w:rFonts w:ascii="仿宋" w:eastAsia="仿宋" w:hAnsi="仿宋" w:hint="eastAsia"/>
          <w:sz w:val="30"/>
          <w:szCs w:val="30"/>
        </w:rPr>
        <w:t>前</w:t>
      </w:r>
      <w:r w:rsidR="007011C4">
        <w:rPr>
          <w:rFonts w:ascii="仿宋" w:eastAsia="仿宋" w:hAnsi="仿宋" w:hint="eastAsia"/>
          <w:sz w:val="30"/>
          <w:szCs w:val="30"/>
        </w:rPr>
        <w:t>三</w:t>
      </w:r>
      <w:r w:rsidR="006A5359">
        <w:rPr>
          <w:rFonts w:ascii="仿宋" w:eastAsia="仿宋" w:hAnsi="仿宋" w:hint="eastAsia"/>
          <w:sz w:val="30"/>
          <w:szCs w:val="30"/>
        </w:rPr>
        <w:t>季度，</w:t>
      </w:r>
      <w:r w:rsidR="0078280A" w:rsidRPr="00D13CDA">
        <w:rPr>
          <w:rFonts w:ascii="仿宋" w:eastAsia="仿宋" w:hAnsi="仿宋" w:hint="eastAsia"/>
          <w:sz w:val="30"/>
          <w:szCs w:val="30"/>
        </w:rPr>
        <w:t>上市公司整体盈利状况</w:t>
      </w:r>
      <w:r w:rsidR="0078280A">
        <w:rPr>
          <w:rFonts w:ascii="仿宋" w:eastAsia="仿宋" w:hAnsi="仿宋" w:hint="eastAsia"/>
          <w:sz w:val="30"/>
          <w:szCs w:val="30"/>
        </w:rPr>
        <w:t>由</w:t>
      </w:r>
      <w:r w:rsidR="00FC06DA">
        <w:rPr>
          <w:rFonts w:ascii="仿宋" w:eastAsia="仿宋" w:hAnsi="仿宋" w:hint="eastAsia"/>
          <w:sz w:val="30"/>
          <w:szCs w:val="30"/>
        </w:rPr>
        <w:t>上半年</w:t>
      </w:r>
      <w:r w:rsidR="0078280A">
        <w:rPr>
          <w:rFonts w:ascii="仿宋" w:eastAsia="仿宋" w:hAnsi="仿宋" w:hint="eastAsia"/>
          <w:sz w:val="30"/>
          <w:szCs w:val="30"/>
        </w:rPr>
        <w:t>的-3.9%触底反弹至2.6%。同期，</w:t>
      </w:r>
      <w:r w:rsidR="006A5359" w:rsidRPr="00D13CDA">
        <w:rPr>
          <w:rFonts w:ascii="仿宋" w:eastAsia="仿宋" w:hAnsi="仿宋" w:hint="eastAsia"/>
          <w:sz w:val="30"/>
          <w:szCs w:val="30"/>
        </w:rPr>
        <w:t>战略性新兴产业上市公司实现利润总额</w:t>
      </w:r>
      <w:r w:rsidR="009753B6">
        <w:rPr>
          <w:rFonts w:ascii="仿宋" w:eastAsia="仿宋" w:hAnsi="仿宋" w:hint="eastAsia"/>
          <w:sz w:val="30"/>
          <w:szCs w:val="30"/>
        </w:rPr>
        <w:t>2264.4</w:t>
      </w:r>
      <w:r w:rsidR="006A5359" w:rsidRPr="00D13CDA">
        <w:rPr>
          <w:rFonts w:ascii="仿宋" w:eastAsia="仿宋" w:hAnsi="仿宋" w:hint="eastAsia"/>
          <w:sz w:val="30"/>
          <w:szCs w:val="30"/>
        </w:rPr>
        <w:t>亿元，</w:t>
      </w:r>
      <w:r w:rsidR="006A5359">
        <w:rPr>
          <w:rFonts w:ascii="仿宋" w:eastAsia="仿宋" w:hAnsi="仿宋" w:hint="eastAsia"/>
          <w:sz w:val="30"/>
          <w:szCs w:val="30"/>
        </w:rPr>
        <w:t>增速达</w:t>
      </w:r>
      <w:r w:rsidR="00FC06DA">
        <w:rPr>
          <w:rFonts w:ascii="仿宋" w:eastAsia="仿宋" w:hAnsi="仿宋"/>
          <w:sz w:val="30"/>
          <w:szCs w:val="30"/>
        </w:rPr>
        <w:t>29.7</w:t>
      </w:r>
      <w:r w:rsidR="006A5359">
        <w:rPr>
          <w:rFonts w:ascii="仿宋" w:eastAsia="仿宋" w:hAnsi="仿宋" w:hint="eastAsia"/>
          <w:sz w:val="30"/>
          <w:szCs w:val="30"/>
        </w:rPr>
        <w:t>%</w:t>
      </w:r>
      <w:r w:rsidR="006A5359" w:rsidRPr="00D13CDA">
        <w:rPr>
          <w:rFonts w:ascii="仿宋" w:eastAsia="仿宋" w:hAnsi="仿宋" w:hint="eastAsia"/>
          <w:sz w:val="30"/>
          <w:szCs w:val="30"/>
        </w:rPr>
        <w:t>，</w:t>
      </w:r>
      <w:r w:rsidR="0078280A" w:rsidRPr="00181B9E">
        <w:rPr>
          <w:rFonts w:ascii="仿宋" w:eastAsia="仿宋" w:hAnsi="仿宋" w:hint="eastAsia"/>
          <w:sz w:val="30"/>
          <w:szCs w:val="30"/>
        </w:rPr>
        <w:t>较上半年</w:t>
      </w:r>
      <w:r>
        <w:rPr>
          <w:rFonts w:ascii="仿宋" w:eastAsia="仿宋" w:hAnsi="仿宋" w:hint="eastAsia"/>
          <w:sz w:val="30"/>
          <w:szCs w:val="30"/>
        </w:rPr>
        <w:t>提高</w:t>
      </w:r>
      <w:r w:rsidR="00FC06DA">
        <w:rPr>
          <w:rFonts w:ascii="仿宋" w:eastAsia="仿宋" w:hAnsi="仿宋"/>
          <w:sz w:val="30"/>
          <w:szCs w:val="30"/>
        </w:rPr>
        <w:t>3.6</w:t>
      </w:r>
      <w:r w:rsidR="0078280A" w:rsidRPr="00181B9E">
        <w:rPr>
          <w:rFonts w:ascii="仿宋" w:eastAsia="仿宋" w:hAnsi="仿宋" w:hint="eastAsia"/>
          <w:sz w:val="30"/>
          <w:szCs w:val="30"/>
        </w:rPr>
        <w:t>个百分点，</w:t>
      </w:r>
      <w:r w:rsidR="0078280A">
        <w:rPr>
          <w:rFonts w:ascii="仿宋" w:eastAsia="仿宋" w:hAnsi="仿宋" w:hint="eastAsia"/>
          <w:sz w:val="30"/>
          <w:szCs w:val="30"/>
        </w:rPr>
        <w:t>高于同期上市公司整体</w:t>
      </w:r>
      <w:r w:rsidR="008646CC">
        <w:rPr>
          <w:rFonts w:ascii="仿宋" w:eastAsia="仿宋" w:hAnsi="仿宋"/>
          <w:sz w:val="30"/>
          <w:szCs w:val="30"/>
        </w:rPr>
        <w:t>27.1</w:t>
      </w:r>
      <w:r w:rsidR="0078280A">
        <w:rPr>
          <w:rFonts w:ascii="仿宋" w:eastAsia="仿宋" w:hAnsi="仿宋" w:hint="eastAsia"/>
          <w:sz w:val="30"/>
          <w:szCs w:val="30"/>
        </w:rPr>
        <w:t>个百分点，</w:t>
      </w:r>
      <w:r w:rsidR="006A5359" w:rsidRPr="00FC06DA">
        <w:rPr>
          <w:rFonts w:ascii="仿宋" w:eastAsia="仿宋" w:hAnsi="仿宋" w:hint="eastAsia"/>
          <w:sz w:val="30"/>
          <w:szCs w:val="30"/>
        </w:rPr>
        <w:t>增速</w:t>
      </w:r>
      <w:r w:rsidRPr="00FC06DA">
        <w:rPr>
          <w:rFonts w:ascii="仿宋" w:eastAsia="仿宋" w:hAnsi="仿宋" w:hint="eastAsia"/>
          <w:sz w:val="30"/>
          <w:szCs w:val="30"/>
        </w:rPr>
        <w:t>保持</w:t>
      </w:r>
      <w:r w:rsidR="00FC06DA" w:rsidRPr="00600F32">
        <w:rPr>
          <w:rFonts w:ascii="仿宋" w:eastAsia="仿宋" w:hAnsi="仿宋" w:hint="eastAsia"/>
          <w:sz w:val="30"/>
          <w:szCs w:val="30"/>
        </w:rPr>
        <w:t>近两年的</w:t>
      </w:r>
      <w:r w:rsidR="0078280A" w:rsidRPr="00FC06DA">
        <w:rPr>
          <w:rFonts w:ascii="仿宋" w:eastAsia="仿宋" w:hAnsi="仿宋" w:hint="eastAsia"/>
          <w:sz w:val="30"/>
          <w:szCs w:val="30"/>
        </w:rPr>
        <w:t>平均水平</w:t>
      </w:r>
      <w:r w:rsidRPr="00FC06DA">
        <w:rPr>
          <w:rFonts w:ascii="仿宋" w:eastAsia="仿宋" w:hAnsi="仿宋" w:hint="eastAsia"/>
          <w:sz w:val="30"/>
          <w:szCs w:val="30"/>
        </w:rPr>
        <w:t>之上</w:t>
      </w:r>
      <w:r w:rsidR="006A5359" w:rsidRPr="00D13CDA">
        <w:rPr>
          <w:rFonts w:ascii="仿宋" w:eastAsia="仿宋" w:hAnsi="仿宋" w:hint="eastAsia"/>
          <w:sz w:val="30"/>
          <w:szCs w:val="30"/>
        </w:rPr>
        <w:t>。</w:t>
      </w:r>
      <w:r w:rsidR="00FC06DA" w:rsidRPr="00D13CDA">
        <w:rPr>
          <w:rFonts w:ascii="仿宋" w:eastAsia="仿宋" w:hAnsi="仿宋" w:hint="eastAsia"/>
          <w:sz w:val="30"/>
          <w:szCs w:val="30"/>
        </w:rPr>
        <w:t>（见图2）</w:t>
      </w:r>
    </w:p>
    <w:p w14:paraId="40B9F0F5" w14:textId="5168B250" w:rsidR="006259D9" w:rsidRPr="00CC1BC7" w:rsidRDefault="006259D9" w:rsidP="0078280A">
      <w:pPr>
        <w:spacing w:beforeLines="100" w:before="312" w:line="360" w:lineRule="auto"/>
        <w:rPr>
          <w:rFonts w:ascii="仿宋" w:eastAsia="仿宋" w:hAnsi="仿宋"/>
          <w:b/>
          <w:sz w:val="30"/>
          <w:szCs w:val="30"/>
        </w:rPr>
      </w:pPr>
    </w:p>
    <w:p w14:paraId="385DC5A4" w14:textId="4D99B57D" w:rsidR="006259D9" w:rsidRDefault="006259D9" w:rsidP="006259D9">
      <w:pPr>
        <w:spacing w:beforeLines="100" w:before="312"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14:paraId="7992E778" w14:textId="5C681FBC" w:rsidR="006259D9" w:rsidRDefault="0048627F" w:rsidP="0048627F">
      <w:pPr>
        <w:spacing w:beforeLines="100" w:before="312" w:line="360" w:lineRule="auto"/>
        <w:ind w:firstLineChars="200" w:firstLine="420"/>
        <w:rPr>
          <w:rFonts w:ascii="仿宋" w:eastAsia="仿宋" w:hAnsi="仿宋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18AD2" wp14:editId="1C7555C5">
                <wp:simplePos x="0" y="0"/>
                <wp:positionH relativeFrom="column">
                  <wp:posOffset>811530</wp:posOffset>
                </wp:positionH>
                <wp:positionV relativeFrom="paragraph">
                  <wp:posOffset>451485</wp:posOffset>
                </wp:positionV>
                <wp:extent cx="4001135" cy="289560"/>
                <wp:effectExtent l="0" t="0" r="0" b="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1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C1699" w14:textId="4FC0F32C" w:rsidR="006259D9" w:rsidRPr="00F11A1B" w:rsidRDefault="006259D9" w:rsidP="006259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1A1B">
                              <w:rPr>
                                <w:rFonts w:hint="eastAsia"/>
                                <w:b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  <w:r w:rsidR="00A031F3">
                              <w:rPr>
                                <w:b/>
                              </w:rPr>
                              <w:t xml:space="preserve"> </w:t>
                            </w:r>
                            <w:r w:rsidRPr="00F11A1B">
                              <w:rPr>
                                <w:rFonts w:hint="eastAsia"/>
                                <w:b/>
                              </w:rPr>
                              <w:t>战略性新兴产业上市公司利润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累计</w:t>
                            </w:r>
                            <w:r w:rsidRPr="00F11A1B">
                              <w:rPr>
                                <w:rFonts w:hint="eastAsia"/>
                                <w:b/>
                              </w:rPr>
                              <w:t>增速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季度</w:t>
                            </w:r>
                            <w:r w:rsidRPr="00F11A1B">
                              <w:rPr>
                                <w:rFonts w:hint="eastAsia"/>
                                <w:b/>
                              </w:rPr>
                              <w:t>变化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318AD2" id="Text Box 4" o:spid="_x0000_s1027" type="#_x0000_t202" style="position:absolute;left:0;text-align:left;margin-left:63.9pt;margin-top:35.55pt;width:315.0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FfhAIAABc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" stroked="f">
                <v:textbox style="mso-fit-shape-to-text:t">
                  <w:txbxContent>
                    <w:p w14:paraId="0AFC1699" w14:textId="4FC0F32C" w:rsidR="006259D9" w:rsidRPr="00F11A1B" w:rsidRDefault="006259D9" w:rsidP="006259D9">
                      <w:pPr>
                        <w:jc w:val="center"/>
                        <w:rPr>
                          <w:b/>
                        </w:rPr>
                      </w:pPr>
                      <w:r w:rsidRPr="00F11A1B">
                        <w:rPr>
                          <w:rFonts w:hint="eastAsia"/>
                          <w:b/>
                        </w:rPr>
                        <w:t>图</w:t>
                      </w:r>
                      <w:r>
                        <w:rPr>
                          <w:rFonts w:hint="eastAsia"/>
                          <w:b/>
                        </w:rPr>
                        <w:t>2</w:t>
                      </w:r>
                      <w:r w:rsidR="00A031F3">
                        <w:rPr>
                          <w:b/>
                        </w:rPr>
                        <w:t xml:space="preserve"> </w:t>
                      </w:r>
                      <w:r w:rsidRPr="00F11A1B">
                        <w:rPr>
                          <w:rFonts w:hint="eastAsia"/>
                          <w:b/>
                        </w:rPr>
                        <w:t>战略性新兴产业上市公司利润</w:t>
                      </w:r>
                      <w:r>
                        <w:rPr>
                          <w:rFonts w:hint="eastAsia"/>
                          <w:b/>
                        </w:rPr>
                        <w:t>累计</w:t>
                      </w:r>
                      <w:r w:rsidRPr="00F11A1B">
                        <w:rPr>
                          <w:rFonts w:hint="eastAsia"/>
                          <w:b/>
                        </w:rPr>
                        <w:t>增速</w:t>
                      </w:r>
                      <w:r>
                        <w:rPr>
                          <w:rFonts w:hint="eastAsia"/>
                          <w:b/>
                        </w:rPr>
                        <w:t>季度</w:t>
                      </w:r>
                      <w:r w:rsidRPr="00F11A1B">
                        <w:rPr>
                          <w:rFonts w:hint="eastAsia"/>
                          <w:b/>
                        </w:rPr>
                        <w:t>变化</w:t>
                      </w:r>
                    </w:p>
                  </w:txbxContent>
                </v:textbox>
              </v:shape>
            </w:pict>
          </mc:Fallback>
        </mc:AlternateContent>
      </w:r>
    </w:p>
    <w:p w14:paraId="13C6CCCD" w14:textId="245A0A33" w:rsidR="005F7514" w:rsidRPr="00CF02DA" w:rsidRDefault="005F7514" w:rsidP="00970D77">
      <w:pPr>
        <w:spacing w:beforeLines="100" w:before="312" w:line="360" w:lineRule="auto"/>
        <w:ind w:rightChars="-230" w:right="-483" w:firstLineChars="200" w:firstLine="602"/>
        <w:rPr>
          <w:rFonts w:ascii="仿宋" w:eastAsia="仿宋" w:hAnsi="仿宋"/>
          <w:b/>
          <w:sz w:val="30"/>
          <w:szCs w:val="30"/>
        </w:rPr>
      </w:pPr>
      <w:r w:rsidRPr="00CF02DA">
        <w:rPr>
          <w:rFonts w:ascii="仿宋" w:eastAsia="仿宋" w:hAnsi="仿宋" w:hint="eastAsia"/>
          <w:b/>
          <w:sz w:val="30"/>
          <w:szCs w:val="30"/>
        </w:rPr>
        <w:t>（二）</w:t>
      </w:r>
      <w:r w:rsidR="00376FB1" w:rsidRPr="00CF02DA">
        <w:rPr>
          <w:rFonts w:ascii="仿宋" w:eastAsia="仿宋" w:hAnsi="仿宋" w:hint="eastAsia"/>
          <w:b/>
          <w:sz w:val="30"/>
          <w:szCs w:val="30"/>
        </w:rPr>
        <w:t>重点</w:t>
      </w:r>
      <w:r w:rsidR="00D22873">
        <w:rPr>
          <w:rFonts w:ascii="仿宋" w:eastAsia="仿宋" w:hAnsi="仿宋" w:hint="eastAsia"/>
          <w:b/>
          <w:sz w:val="30"/>
          <w:szCs w:val="30"/>
        </w:rPr>
        <w:t>领域</w:t>
      </w:r>
      <w:r w:rsidR="00CA7DE9">
        <w:rPr>
          <w:rFonts w:ascii="仿宋" w:eastAsia="仿宋" w:hAnsi="仿宋" w:hint="eastAsia"/>
          <w:b/>
          <w:sz w:val="30"/>
          <w:szCs w:val="30"/>
        </w:rPr>
        <w:t xml:space="preserve">稳步攀升 </w:t>
      </w:r>
      <w:r w:rsidR="00CF02DA" w:rsidRPr="00CF02DA">
        <w:rPr>
          <w:rFonts w:ascii="仿宋" w:eastAsia="仿宋" w:hAnsi="仿宋" w:hint="eastAsia"/>
          <w:b/>
          <w:sz w:val="30"/>
          <w:szCs w:val="30"/>
        </w:rPr>
        <w:t>带动整体发展</w:t>
      </w:r>
    </w:p>
    <w:p w14:paraId="6E10E2E2" w14:textId="2F86C5C7" w:rsidR="00946A84" w:rsidRDefault="00097BD7" w:rsidP="00946A8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6</w:t>
      </w:r>
      <w:r w:rsidRPr="00875695">
        <w:rPr>
          <w:rFonts w:ascii="仿宋" w:eastAsia="仿宋" w:hAnsi="仿宋"/>
          <w:sz w:val="30"/>
          <w:szCs w:val="30"/>
        </w:rPr>
        <w:t>年</w:t>
      </w:r>
      <w:r w:rsidRPr="008C0052">
        <w:rPr>
          <w:rFonts w:ascii="仿宋" w:eastAsia="仿宋" w:hAnsi="仿宋" w:hint="eastAsia"/>
          <w:sz w:val="30"/>
          <w:szCs w:val="30"/>
        </w:rPr>
        <w:t>三季度</w:t>
      </w:r>
      <w:r w:rsidRPr="00875695">
        <w:rPr>
          <w:rFonts w:ascii="仿宋" w:eastAsia="仿宋" w:hAnsi="仿宋" w:hint="eastAsia"/>
          <w:sz w:val="30"/>
          <w:szCs w:val="30"/>
        </w:rPr>
        <w:t>，战略性新兴产业重点领域</w:t>
      </w:r>
      <w:r w:rsidR="00843685">
        <w:rPr>
          <w:rFonts w:ascii="仿宋" w:eastAsia="仿宋" w:hAnsi="仿宋" w:hint="eastAsia"/>
          <w:sz w:val="30"/>
          <w:szCs w:val="30"/>
        </w:rPr>
        <w:t>营</w:t>
      </w:r>
      <w:proofErr w:type="gramStart"/>
      <w:r w:rsidR="00843685">
        <w:rPr>
          <w:rFonts w:ascii="仿宋" w:eastAsia="仿宋" w:hAnsi="仿宋" w:hint="eastAsia"/>
          <w:sz w:val="30"/>
          <w:szCs w:val="30"/>
        </w:rPr>
        <w:t>收</w:t>
      </w:r>
      <w:r w:rsidRPr="008C0052">
        <w:rPr>
          <w:rFonts w:ascii="仿宋" w:eastAsia="仿宋" w:hAnsi="仿宋" w:hint="eastAsia"/>
          <w:sz w:val="30"/>
          <w:szCs w:val="30"/>
        </w:rPr>
        <w:t>实现</w:t>
      </w:r>
      <w:proofErr w:type="gramEnd"/>
      <w:r w:rsidRPr="008C0052">
        <w:rPr>
          <w:rFonts w:ascii="仿宋" w:eastAsia="仿宋" w:hAnsi="仿宋" w:hint="eastAsia"/>
          <w:sz w:val="30"/>
          <w:szCs w:val="30"/>
        </w:rPr>
        <w:t>稳定增长</w:t>
      </w:r>
      <w:r w:rsidR="0040565F">
        <w:rPr>
          <w:rFonts w:ascii="仿宋" w:eastAsia="仿宋" w:hAnsi="仿宋" w:hint="eastAsia"/>
          <w:sz w:val="30"/>
          <w:szCs w:val="30"/>
        </w:rPr>
        <w:t>，</w:t>
      </w:r>
      <w:r w:rsidR="000F2F15">
        <w:rPr>
          <w:rFonts w:ascii="仿宋" w:eastAsia="仿宋" w:hAnsi="仿宋" w:hint="eastAsia"/>
          <w:sz w:val="30"/>
          <w:szCs w:val="30"/>
        </w:rPr>
        <w:t>带动产业整体</w:t>
      </w:r>
      <w:r w:rsidR="00422CC9">
        <w:rPr>
          <w:rFonts w:ascii="仿宋" w:eastAsia="仿宋" w:hAnsi="仿宋"/>
          <w:sz w:val="30"/>
          <w:szCs w:val="30"/>
        </w:rPr>
        <w:t>业绩</w:t>
      </w:r>
      <w:r w:rsidR="00422CC9">
        <w:rPr>
          <w:rFonts w:ascii="仿宋" w:eastAsia="仿宋" w:hAnsi="仿宋" w:hint="eastAsia"/>
          <w:sz w:val="30"/>
          <w:szCs w:val="30"/>
        </w:rPr>
        <w:t>提高</w:t>
      </w:r>
      <w:r w:rsidR="005B655E">
        <w:rPr>
          <w:rFonts w:ascii="仿宋" w:eastAsia="仿宋" w:hAnsi="仿宋" w:hint="eastAsia"/>
          <w:sz w:val="30"/>
          <w:szCs w:val="30"/>
        </w:rPr>
        <w:t>。除高端装备制造</w:t>
      </w:r>
      <w:r w:rsidR="00AB1076">
        <w:rPr>
          <w:rFonts w:ascii="仿宋" w:eastAsia="仿宋" w:hAnsi="仿宋" w:hint="eastAsia"/>
          <w:sz w:val="30"/>
          <w:szCs w:val="30"/>
        </w:rPr>
        <w:t>领域</w:t>
      </w:r>
      <w:r w:rsidR="00946A84">
        <w:rPr>
          <w:rFonts w:ascii="仿宋" w:eastAsia="仿宋" w:hAnsi="仿宋" w:hint="eastAsia"/>
          <w:sz w:val="30"/>
          <w:szCs w:val="30"/>
        </w:rPr>
        <w:t>外，其他所有领域的营收增速均为A股总体的一倍以上，其中数字创意</w:t>
      </w:r>
      <w:r w:rsidR="00642844">
        <w:rPr>
          <w:rFonts w:ascii="仿宋" w:eastAsia="仿宋" w:hAnsi="仿宋" w:hint="eastAsia"/>
          <w:sz w:val="30"/>
          <w:szCs w:val="30"/>
        </w:rPr>
        <w:t>的增速达到39.6%，是所有产业中增速最高的，节能环保和新一代信息技术的增速也在20%以上。</w:t>
      </w:r>
    </w:p>
    <w:p w14:paraId="49302E76" w14:textId="26F8EE83" w:rsidR="00F16492" w:rsidRPr="00097BD7" w:rsidRDefault="004B73B0" w:rsidP="002D01D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4B73B0">
        <w:rPr>
          <w:rFonts w:ascii="仿宋" w:eastAsia="仿宋" w:hAnsi="仿宋" w:hint="eastAsia"/>
          <w:sz w:val="30"/>
          <w:szCs w:val="30"/>
        </w:rPr>
        <w:t>从</w:t>
      </w:r>
      <w:r>
        <w:rPr>
          <w:rFonts w:ascii="仿宋" w:eastAsia="仿宋" w:hAnsi="仿宋" w:hint="eastAsia"/>
          <w:sz w:val="30"/>
          <w:szCs w:val="30"/>
        </w:rPr>
        <w:t>趋势来看，</w:t>
      </w:r>
      <w:r w:rsidR="004C234E" w:rsidRPr="004A7F13">
        <w:rPr>
          <w:rFonts w:ascii="仿宋" w:eastAsia="仿宋" w:hAnsi="仿宋" w:hint="eastAsia"/>
          <w:b/>
          <w:sz w:val="30"/>
          <w:szCs w:val="30"/>
        </w:rPr>
        <w:t>第一</w:t>
      </w:r>
      <w:r w:rsidR="004C234E">
        <w:rPr>
          <w:rFonts w:ascii="仿宋" w:eastAsia="仿宋" w:hAnsi="仿宋" w:hint="eastAsia"/>
          <w:sz w:val="30"/>
          <w:szCs w:val="30"/>
        </w:rPr>
        <w:t>，</w:t>
      </w:r>
      <w:r w:rsidR="008A4A3C">
        <w:rPr>
          <w:rFonts w:ascii="仿宋" w:eastAsia="仿宋" w:hAnsi="仿宋" w:hint="eastAsia"/>
          <w:sz w:val="30"/>
          <w:szCs w:val="30"/>
        </w:rPr>
        <w:t>节能环保、新一代信息技术和新材料三个重</w:t>
      </w:r>
      <w:r w:rsidR="008A4A3C">
        <w:rPr>
          <w:rFonts w:ascii="仿宋" w:eastAsia="仿宋" w:hAnsi="仿宋" w:hint="eastAsia"/>
          <w:sz w:val="30"/>
          <w:szCs w:val="30"/>
        </w:rPr>
        <w:lastRenderedPageBreak/>
        <w:t>点领域</w:t>
      </w:r>
      <w:r w:rsidR="008D16EF">
        <w:rPr>
          <w:rFonts w:ascii="仿宋" w:eastAsia="仿宋" w:hAnsi="仿宋" w:hint="eastAsia"/>
          <w:sz w:val="30"/>
          <w:szCs w:val="30"/>
        </w:rPr>
        <w:t>业绩</w:t>
      </w:r>
      <w:r w:rsidR="008A4A3C">
        <w:rPr>
          <w:rFonts w:ascii="仿宋" w:eastAsia="仿宋" w:hAnsi="仿宋" w:hint="eastAsia"/>
          <w:sz w:val="30"/>
          <w:szCs w:val="30"/>
        </w:rPr>
        <w:t>呈现</w:t>
      </w:r>
      <w:r w:rsidR="00F920C7">
        <w:rPr>
          <w:rFonts w:ascii="仿宋" w:eastAsia="仿宋" w:hAnsi="仿宋" w:hint="eastAsia"/>
          <w:sz w:val="30"/>
          <w:szCs w:val="30"/>
        </w:rPr>
        <w:t>上升态势。</w:t>
      </w:r>
      <w:r w:rsidR="00E6652A">
        <w:rPr>
          <w:rFonts w:ascii="仿宋" w:eastAsia="仿宋" w:hAnsi="仿宋" w:hint="eastAsia"/>
          <w:sz w:val="30"/>
          <w:szCs w:val="30"/>
        </w:rPr>
        <w:t>一季度</w:t>
      </w:r>
      <w:r w:rsidR="00A81205">
        <w:rPr>
          <w:rFonts w:ascii="仿宋" w:eastAsia="仿宋" w:hAnsi="仿宋" w:hint="eastAsia"/>
          <w:sz w:val="30"/>
          <w:szCs w:val="30"/>
        </w:rPr>
        <w:t>以来</w:t>
      </w:r>
      <w:r w:rsidR="00372DB6">
        <w:rPr>
          <w:rFonts w:ascii="仿宋" w:eastAsia="仿宋" w:hAnsi="仿宋" w:hint="eastAsia"/>
          <w:sz w:val="30"/>
          <w:szCs w:val="30"/>
        </w:rPr>
        <w:t>，</w:t>
      </w:r>
      <w:r w:rsidR="00811614">
        <w:rPr>
          <w:rFonts w:ascii="仿宋" w:eastAsia="仿宋" w:hAnsi="仿宋" w:hint="eastAsia"/>
          <w:sz w:val="30"/>
          <w:szCs w:val="30"/>
        </w:rPr>
        <w:t>节能环保领域</w:t>
      </w:r>
      <w:r w:rsidR="00E6652A">
        <w:rPr>
          <w:rFonts w:ascii="仿宋" w:eastAsia="仿宋" w:hAnsi="仿宋" w:hint="eastAsia"/>
          <w:sz w:val="30"/>
          <w:szCs w:val="30"/>
        </w:rPr>
        <w:t>营收增速</w:t>
      </w:r>
      <w:r w:rsidR="00811614">
        <w:rPr>
          <w:rFonts w:ascii="仿宋" w:eastAsia="仿宋" w:hAnsi="仿宋" w:hint="eastAsia"/>
          <w:sz w:val="30"/>
          <w:szCs w:val="30"/>
        </w:rPr>
        <w:t>始终保持</w:t>
      </w:r>
      <w:r w:rsidR="00E6652A">
        <w:rPr>
          <w:rFonts w:ascii="仿宋" w:eastAsia="仿宋" w:hAnsi="仿宋" w:hint="eastAsia"/>
          <w:sz w:val="30"/>
          <w:szCs w:val="30"/>
        </w:rPr>
        <w:t>上涨趋势，本期达到30.2%，较上期提高3.1个百分点；</w:t>
      </w:r>
      <w:r w:rsidR="003D61B1">
        <w:rPr>
          <w:rFonts w:ascii="仿宋" w:eastAsia="仿宋" w:hAnsi="仿宋" w:hint="eastAsia"/>
          <w:sz w:val="30"/>
          <w:szCs w:val="30"/>
        </w:rPr>
        <w:t>在物联网、大数据蓬勃发展的背景下，</w:t>
      </w:r>
      <w:r w:rsidR="004C234E">
        <w:rPr>
          <w:rFonts w:ascii="仿宋" w:eastAsia="仿宋" w:hAnsi="仿宋" w:hint="eastAsia"/>
          <w:sz w:val="30"/>
          <w:szCs w:val="30"/>
        </w:rPr>
        <w:t>新一代信息技术已连续四个季度保持上升态势，</w:t>
      </w:r>
      <w:r w:rsidR="004032FD">
        <w:rPr>
          <w:rFonts w:ascii="仿宋" w:eastAsia="仿宋" w:hAnsi="仿宋" w:hint="eastAsia"/>
          <w:sz w:val="30"/>
          <w:szCs w:val="30"/>
        </w:rPr>
        <w:t>本期营收同比增长23.1%，较上期提高0.4个百分点；</w:t>
      </w:r>
      <w:r w:rsidR="00414323">
        <w:rPr>
          <w:rFonts w:ascii="仿宋" w:eastAsia="仿宋" w:hAnsi="仿宋" w:hint="eastAsia"/>
          <w:sz w:val="30"/>
          <w:szCs w:val="30"/>
        </w:rPr>
        <w:t>新材料领域同样连续四个季度保持上升趋势，本期达到11.6%，较上期提高4.9个百分点。</w:t>
      </w:r>
      <w:r w:rsidR="004A7F13" w:rsidRPr="004A7F13">
        <w:rPr>
          <w:rFonts w:ascii="仿宋" w:eastAsia="仿宋" w:hAnsi="仿宋" w:hint="eastAsia"/>
          <w:b/>
          <w:sz w:val="30"/>
          <w:szCs w:val="30"/>
        </w:rPr>
        <w:t>第二</w:t>
      </w:r>
      <w:r w:rsidR="004A7F13">
        <w:rPr>
          <w:rFonts w:ascii="仿宋" w:eastAsia="仿宋" w:hAnsi="仿宋" w:hint="eastAsia"/>
          <w:sz w:val="30"/>
          <w:szCs w:val="30"/>
        </w:rPr>
        <w:t>，数字创意和生物领域起伏波动，但</w:t>
      </w:r>
      <w:r w:rsidR="00657EB7">
        <w:rPr>
          <w:rFonts w:ascii="仿宋" w:eastAsia="仿宋" w:hAnsi="仿宋" w:hint="eastAsia"/>
          <w:sz w:val="30"/>
          <w:szCs w:val="30"/>
        </w:rPr>
        <w:t>产业</w:t>
      </w:r>
      <w:r w:rsidR="004A7F13">
        <w:rPr>
          <w:rFonts w:ascii="仿宋" w:eastAsia="仿宋" w:hAnsi="仿宋" w:hint="eastAsia"/>
          <w:sz w:val="30"/>
          <w:szCs w:val="30"/>
        </w:rPr>
        <w:t>整体</w:t>
      </w:r>
      <w:r w:rsidR="003651B3">
        <w:rPr>
          <w:rFonts w:ascii="仿宋" w:eastAsia="仿宋" w:hAnsi="仿宋" w:hint="eastAsia"/>
          <w:sz w:val="30"/>
          <w:szCs w:val="30"/>
        </w:rPr>
        <w:t>发展</w:t>
      </w:r>
      <w:r w:rsidR="00657EB7">
        <w:rPr>
          <w:rFonts w:ascii="仿宋" w:eastAsia="仿宋" w:hAnsi="仿宋" w:hint="eastAsia"/>
          <w:sz w:val="30"/>
          <w:szCs w:val="30"/>
        </w:rPr>
        <w:t>态势向好。</w:t>
      </w:r>
      <w:r w:rsidR="003361C0">
        <w:rPr>
          <w:rFonts w:ascii="仿宋" w:eastAsia="仿宋" w:hAnsi="仿宋" w:hint="eastAsia"/>
          <w:sz w:val="30"/>
          <w:szCs w:val="30"/>
        </w:rPr>
        <w:t>近四个季度，虽然数字创意领域业绩起伏不定，</w:t>
      </w:r>
      <w:r w:rsidR="00D70DC9">
        <w:rPr>
          <w:rFonts w:ascii="仿宋" w:eastAsia="仿宋" w:hAnsi="仿宋" w:hint="eastAsia"/>
          <w:sz w:val="30"/>
          <w:szCs w:val="30"/>
        </w:rPr>
        <w:t>却</w:t>
      </w:r>
      <w:r w:rsidR="003361C0">
        <w:rPr>
          <w:rFonts w:ascii="仿宋" w:eastAsia="仿宋" w:hAnsi="仿宋" w:hint="eastAsia"/>
          <w:sz w:val="30"/>
          <w:szCs w:val="30"/>
        </w:rPr>
        <w:t>始终保持</w:t>
      </w:r>
      <w:r w:rsidR="0070149D">
        <w:rPr>
          <w:rFonts w:ascii="仿宋" w:eastAsia="仿宋" w:hAnsi="仿宋" w:hint="eastAsia"/>
          <w:sz w:val="30"/>
          <w:szCs w:val="30"/>
        </w:rPr>
        <w:t>着</w:t>
      </w:r>
      <w:r w:rsidR="003361C0">
        <w:rPr>
          <w:rFonts w:ascii="仿宋" w:eastAsia="仿宋" w:hAnsi="仿宋" w:hint="eastAsia"/>
          <w:sz w:val="30"/>
          <w:szCs w:val="30"/>
        </w:rPr>
        <w:t>35%以上的高</w:t>
      </w:r>
      <w:r w:rsidR="0064639C">
        <w:rPr>
          <w:rFonts w:ascii="仿宋" w:eastAsia="仿宋" w:hAnsi="仿宋" w:hint="eastAsia"/>
          <w:sz w:val="30"/>
          <w:szCs w:val="30"/>
        </w:rPr>
        <w:t>增速</w:t>
      </w:r>
      <w:r w:rsidR="003361C0">
        <w:rPr>
          <w:rFonts w:ascii="仿宋" w:eastAsia="仿宋" w:hAnsi="仿宋" w:hint="eastAsia"/>
          <w:sz w:val="30"/>
          <w:szCs w:val="30"/>
        </w:rPr>
        <w:t>，</w:t>
      </w:r>
      <w:r w:rsidR="00EC5B1D">
        <w:rPr>
          <w:rFonts w:ascii="仿宋" w:eastAsia="仿宋" w:hAnsi="仿宋" w:hint="eastAsia"/>
          <w:sz w:val="30"/>
          <w:szCs w:val="30"/>
        </w:rPr>
        <w:t>产业</w:t>
      </w:r>
      <w:r w:rsidR="0064639C">
        <w:rPr>
          <w:rFonts w:ascii="仿宋" w:eastAsia="仿宋" w:hAnsi="仿宋" w:hint="eastAsia"/>
          <w:sz w:val="30"/>
          <w:szCs w:val="30"/>
        </w:rPr>
        <w:t>迎来爆发式增长</w:t>
      </w:r>
      <w:r w:rsidR="00F54C05">
        <w:rPr>
          <w:rFonts w:ascii="仿宋" w:eastAsia="仿宋" w:hAnsi="仿宋" w:hint="eastAsia"/>
          <w:sz w:val="30"/>
          <w:szCs w:val="30"/>
        </w:rPr>
        <w:t>；</w:t>
      </w:r>
      <w:proofErr w:type="gramStart"/>
      <w:r w:rsidR="00F03322">
        <w:rPr>
          <w:rFonts w:ascii="仿宋" w:eastAsia="仿宋" w:hAnsi="仿宋" w:hint="eastAsia"/>
          <w:sz w:val="30"/>
          <w:szCs w:val="30"/>
        </w:rPr>
        <w:t>医</w:t>
      </w:r>
      <w:proofErr w:type="gramEnd"/>
      <w:r w:rsidR="00F03322">
        <w:rPr>
          <w:rFonts w:ascii="仿宋" w:eastAsia="仿宋" w:hAnsi="仿宋" w:hint="eastAsia"/>
          <w:sz w:val="30"/>
          <w:szCs w:val="30"/>
        </w:rPr>
        <w:t>改的深入和医药新</w:t>
      </w:r>
      <w:proofErr w:type="gramStart"/>
      <w:r w:rsidR="00F03322">
        <w:rPr>
          <w:rFonts w:ascii="仿宋" w:eastAsia="仿宋" w:hAnsi="仿宋" w:hint="eastAsia"/>
          <w:sz w:val="30"/>
          <w:szCs w:val="30"/>
        </w:rPr>
        <w:t>规</w:t>
      </w:r>
      <w:proofErr w:type="gramEnd"/>
      <w:r w:rsidR="00F03322">
        <w:rPr>
          <w:rFonts w:ascii="仿宋" w:eastAsia="仿宋" w:hAnsi="仿宋" w:hint="eastAsia"/>
          <w:sz w:val="30"/>
          <w:szCs w:val="30"/>
        </w:rPr>
        <w:t>的出台</w:t>
      </w:r>
      <w:r w:rsidR="005E4C1D">
        <w:rPr>
          <w:rFonts w:ascii="仿宋" w:eastAsia="仿宋" w:hAnsi="仿宋" w:hint="eastAsia"/>
          <w:sz w:val="30"/>
          <w:szCs w:val="30"/>
        </w:rPr>
        <w:t>造成</w:t>
      </w:r>
      <w:r w:rsidR="00BE3008">
        <w:rPr>
          <w:rFonts w:ascii="仿宋" w:eastAsia="仿宋" w:hAnsi="仿宋" w:hint="eastAsia"/>
          <w:sz w:val="30"/>
          <w:szCs w:val="30"/>
        </w:rPr>
        <w:t>生物领域</w:t>
      </w:r>
      <w:r w:rsidR="006145DB">
        <w:rPr>
          <w:rFonts w:ascii="仿宋" w:eastAsia="仿宋" w:hAnsi="仿宋" w:hint="eastAsia"/>
          <w:sz w:val="30"/>
          <w:szCs w:val="30"/>
        </w:rPr>
        <w:t>业绩</w:t>
      </w:r>
      <w:r w:rsidR="00BE3008">
        <w:rPr>
          <w:rFonts w:ascii="仿宋" w:eastAsia="仿宋" w:hAnsi="仿宋" w:hint="eastAsia"/>
          <w:sz w:val="30"/>
          <w:szCs w:val="30"/>
        </w:rPr>
        <w:t>上下变动，</w:t>
      </w:r>
      <w:r w:rsidR="00CD3AE0">
        <w:rPr>
          <w:rFonts w:ascii="仿宋" w:eastAsia="仿宋" w:hAnsi="仿宋" w:hint="eastAsia"/>
          <w:sz w:val="30"/>
          <w:szCs w:val="30"/>
        </w:rPr>
        <w:t>但</w:t>
      </w:r>
      <w:r w:rsidR="006145DB">
        <w:rPr>
          <w:rFonts w:ascii="仿宋" w:eastAsia="仿宋" w:hAnsi="仿宋" w:hint="eastAsia"/>
          <w:sz w:val="30"/>
          <w:szCs w:val="30"/>
        </w:rPr>
        <w:t>营收增速</w:t>
      </w:r>
      <w:r w:rsidR="00B63F1E">
        <w:rPr>
          <w:rFonts w:ascii="仿宋" w:eastAsia="仿宋" w:hAnsi="仿宋" w:hint="eastAsia"/>
          <w:sz w:val="30"/>
          <w:szCs w:val="30"/>
        </w:rPr>
        <w:t>一直保持在10%以上的水平，</w:t>
      </w:r>
      <w:r w:rsidR="00720704">
        <w:rPr>
          <w:rFonts w:ascii="仿宋" w:eastAsia="仿宋" w:hAnsi="仿宋" w:hint="eastAsia"/>
          <w:sz w:val="30"/>
          <w:szCs w:val="30"/>
        </w:rPr>
        <w:t>产业</w:t>
      </w:r>
      <w:r w:rsidR="00486484">
        <w:rPr>
          <w:rFonts w:ascii="仿宋" w:eastAsia="仿宋" w:hAnsi="仿宋" w:hint="eastAsia"/>
          <w:sz w:val="30"/>
          <w:szCs w:val="30"/>
        </w:rPr>
        <w:t>发展</w:t>
      </w:r>
      <w:r w:rsidR="0066745B">
        <w:rPr>
          <w:rFonts w:ascii="仿宋" w:eastAsia="仿宋" w:hAnsi="仿宋" w:hint="eastAsia"/>
          <w:sz w:val="30"/>
          <w:szCs w:val="30"/>
        </w:rPr>
        <w:t>良好</w:t>
      </w:r>
      <w:r w:rsidR="00D91E07">
        <w:rPr>
          <w:rFonts w:ascii="仿宋" w:eastAsia="仿宋" w:hAnsi="仿宋" w:hint="eastAsia"/>
          <w:sz w:val="30"/>
          <w:szCs w:val="30"/>
        </w:rPr>
        <w:t>。</w:t>
      </w:r>
      <w:r w:rsidR="00F71FB1">
        <w:rPr>
          <w:rFonts w:ascii="仿宋" w:eastAsia="仿宋" w:hAnsi="仿宋" w:hint="eastAsia"/>
          <w:b/>
          <w:sz w:val="30"/>
          <w:szCs w:val="30"/>
        </w:rPr>
        <w:t>第三，</w:t>
      </w:r>
      <w:r w:rsidR="00F71FB1">
        <w:rPr>
          <w:rFonts w:ascii="仿宋" w:eastAsia="仿宋" w:hAnsi="仿宋" w:hint="eastAsia"/>
          <w:sz w:val="30"/>
          <w:szCs w:val="30"/>
        </w:rPr>
        <w:t>新能源和高端装备制造业近一年的表现差强人意。受</w:t>
      </w:r>
      <w:r w:rsidR="002D01D1">
        <w:rPr>
          <w:rFonts w:ascii="仿宋" w:eastAsia="仿宋" w:hAnsi="仿宋" w:hint="eastAsia"/>
          <w:sz w:val="30"/>
          <w:szCs w:val="30"/>
        </w:rPr>
        <w:t>电价调整</w:t>
      </w:r>
      <w:r w:rsidR="00F71FB1">
        <w:rPr>
          <w:rFonts w:ascii="仿宋" w:eastAsia="仿宋" w:hAnsi="仿宋" w:hint="eastAsia"/>
          <w:sz w:val="30"/>
          <w:szCs w:val="30"/>
        </w:rPr>
        <w:t>等政策影响，新能源领域营收</w:t>
      </w:r>
      <w:r w:rsidR="002D01D1">
        <w:rPr>
          <w:rFonts w:ascii="仿宋" w:eastAsia="仿宋" w:hAnsi="仿宋" w:hint="eastAsia"/>
          <w:sz w:val="30"/>
          <w:szCs w:val="30"/>
        </w:rPr>
        <w:t>在上下半年出现了明显波动，三季度增速已</w:t>
      </w:r>
      <w:r w:rsidR="00F71FB1">
        <w:rPr>
          <w:rFonts w:ascii="仿宋" w:eastAsia="仿宋" w:hAnsi="仿宋" w:hint="eastAsia"/>
          <w:sz w:val="30"/>
          <w:szCs w:val="30"/>
        </w:rPr>
        <w:t>回落至19.1%，较上期下降11个百分点。在市场低迷的环境下，高端装备制造业</w:t>
      </w:r>
      <w:r w:rsidR="001C2C44">
        <w:rPr>
          <w:rFonts w:ascii="仿宋" w:eastAsia="仿宋" w:hAnsi="仿宋" w:hint="eastAsia"/>
          <w:sz w:val="30"/>
          <w:szCs w:val="30"/>
        </w:rPr>
        <w:t>已连续三个季度处于末位，本期营收增速仅为2.2%</w:t>
      </w:r>
      <w:r w:rsidR="00F16492">
        <w:rPr>
          <w:rFonts w:ascii="仿宋" w:eastAsia="仿宋" w:hAnsi="仿宋" w:hint="eastAsia"/>
          <w:sz w:val="30"/>
          <w:szCs w:val="30"/>
        </w:rPr>
        <w:t>（见图3）。</w:t>
      </w:r>
      <w:bookmarkStart w:id="0" w:name="_GoBack"/>
      <w:bookmarkEnd w:id="0"/>
    </w:p>
    <w:p w14:paraId="546B860D" w14:textId="09998BDA" w:rsidR="00E83207" w:rsidRDefault="00F257AD" w:rsidP="00097BD7">
      <w:pPr>
        <w:spacing w:line="360" w:lineRule="auto"/>
        <w:ind w:leftChars="-1" w:left="-1" w:hanging="1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noProof/>
          <w:sz w:val="30"/>
          <w:szCs w:val="30"/>
        </w:rPr>
        <w:drawing>
          <wp:inline distT="0" distB="0" distL="0" distR="0" wp14:anchorId="0C23D4EE" wp14:editId="44BE1A3D">
            <wp:extent cx="5876925" cy="1752600"/>
            <wp:effectExtent l="0" t="0" r="0" b="0"/>
            <wp:docPr id="13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4BE8DCD" w14:textId="6296E90F" w:rsidR="005863B5" w:rsidRDefault="005863B5" w:rsidP="005D4D80">
      <w:pPr>
        <w:spacing w:beforeLines="100" w:before="312" w:line="360" w:lineRule="auto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F245AE" wp14:editId="4061029C">
                <wp:simplePos x="0" y="0"/>
                <wp:positionH relativeFrom="column">
                  <wp:posOffset>277495</wp:posOffset>
                </wp:positionH>
                <wp:positionV relativeFrom="paragraph">
                  <wp:posOffset>55245</wp:posOffset>
                </wp:positionV>
                <wp:extent cx="5247640" cy="358775"/>
                <wp:effectExtent l="0" t="0" r="0" b="317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275DB" w14:textId="77777777" w:rsidR="005F7514" w:rsidRPr="00F11A1B" w:rsidRDefault="005F7514" w:rsidP="005F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1A1B">
                              <w:rPr>
                                <w:rFonts w:hint="eastAsia"/>
                                <w:b/>
                              </w:rPr>
                              <w:t>图</w:t>
                            </w:r>
                            <w:r w:rsidR="00F54AF9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F5D38">
                              <w:rPr>
                                <w:rFonts w:hint="eastAsia"/>
                                <w:b/>
                              </w:rPr>
                              <w:t>战略性新兴产业上市公司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主要产业营收增速对比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F245AE" id="Text Box 6" o:spid="_x0000_s1028" type="#_x0000_t202" style="position:absolute;left:0;text-align:left;margin-left:21.85pt;margin-top:4.35pt;width:413.2pt;height: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" stroked="f">
                <v:textbox>
                  <w:txbxContent>
                    <w:p w14:paraId="69B275DB" w14:textId="77777777" w:rsidR="005F7514" w:rsidRPr="00F11A1B" w:rsidRDefault="005F7514" w:rsidP="005F7514">
                      <w:pPr>
                        <w:jc w:val="center"/>
                        <w:rPr>
                          <w:b/>
                        </w:rPr>
                      </w:pPr>
                      <w:r w:rsidRPr="00F11A1B">
                        <w:rPr>
                          <w:rFonts w:hint="eastAsia"/>
                          <w:b/>
                        </w:rPr>
                        <w:t>图</w:t>
                      </w:r>
                      <w:r w:rsidR="00F54AF9">
                        <w:rPr>
                          <w:b/>
                        </w:rPr>
                        <w:t>3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F5D38">
                        <w:rPr>
                          <w:rFonts w:hint="eastAsia"/>
                          <w:b/>
                        </w:rPr>
                        <w:t>战略性新兴产业上市公司</w:t>
                      </w:r>
                      <w:r>
                        <w:rPr>
                          <w:rFonts w:hint="eastAsia"/>
                          <w:b/>
                        </w:rPr>
                        <w:t>主要产业营收增速对比</w:t>
                      </w:r>
                    </w:p>
                  </w:txbxContent>
                </v:textbox>
              </v:shape>
            </w:pict>
          </mc:Fallback>
        </mc:AlternateContent>
      </w:r>
    </w:p>
    <w:p w14:paraId="554376F1" w14:textId="77777777" w:rsidR="001C2C44" w:rsidRDefault="001C2C44" w:rsidP="005D4D80">
      <w:pPr>
        <w:spacing w:beforeLines="100" w:before="312" w:line="360" w:lineRule="auto"/>
        <w:rPr>
          <w:rFonts w:ascii="仿宋" w:eastAsia="仿宋" w:hAnsi="仿宋"/>
          <w:b/>
          <w:sz w:val="30"/>
          <w:szCs w:val="30"/>
        </w:rPr>
      </w:pPr>
    </w:p>
    <w:p w14:paraId="49ED6C67" w14:textId="44F919AA" w:rsidR="005F7514" w:rsidRPr="003644D8" w:rsidRDefault="005F7514" w:rsidP="00970D77">
      <w:pPr>
        <w:spacing w:beforeLines="100" w:before="312"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3644D8">
        <w:rPr>
          <w:rFonts w:ascii="仿宋" w:eastAsia="仿宋" w:hAnsi="仿宋" w:hint="eastAsia"/>
          <w:b/>
          <w:sz w:val="30"/>
          <w:szCs w:val="30"/>
        </w:rPr>
        <w:lastRenderedPageBreak/>
        <w:t>（三）</w:t>
      </w:r>
      <w:r w:rsidR="00441861" w:rsidRPr="007334AF">
        <w:rPr>
          <w:rFonts w:ascii="仿宋" w:eastAsia="仿宋" w:hAnsi="仿宋" w:hint="eastAsia"/>
          <w:b/>
          <w:sz w:val="30"/>
          <w:szCs w:val="30"/>
        </w:rPr>
        <w:t>中部地区</w:t>
      </w:r>
      <w:r w:rsidR="007334AF" w:rsidRPr="00600F32">
        <w:rPr>
          <w:rFonts w:ascii="仿宋" w:eastAsia="仿宋" w:hAnsi="仿宋" w:hint="eastAsia"/>
          <w:b/>
          <w:sz w:val="30"/>
          <w:szCs w:val="30"/>
        </w:rPr>
        <w:t>成</w:t>
      </w:r>
      <w:r w:rsidR="00441861" w:rsidRPr="007334AF">
        <w:rPr>
          <w:rFonts w:ascii="仿宋" w:eastAsia="仿宋" w:hAnsi="仿宋" w:hint="eastAsia"/>
          <w:b/>
          <w:sz w:val="30"/>
          <w:szCs w:val="30"/>
        </w:rPr>
        <w:t>为产业发展</w:t>
      </w:r>
      <w:r w:rsidR="007334AF" w:rsidRPr="00600F32">
        <w:rPr>
          <w:rFonts w:ascii="仿宋" w:eastAsia="仿宋" w:hAnsi="仿宋" w:hint="eastAsia"/>
          <w:b/>
          <w:sz w:val="30"/>
          <w:szCs w:val="30"/>
        </w:rPr>
        <w:t>引领</w:t>
      </w:r>
      <w:r w:rsidR="007334AF" w:rsidRPr="00600F32">
        <w:rPr>
          <w:rFonts w:ascii="仿宋" w:eastAsia="仿宋" w:hAnsi="仿宋"/>
          <w:b/>
          <w:sz w:val="30"/>
          <w:szCs w:val="30"/>
        </w:rPr>
        <w:t>区域</w:t>
      </w:r>
    </w:p>
    <w:p w14:paraId="73B4A792" w14:textId="2DA93CC8" w:rsidR="000D517D" w:rsidRDefault="006A4CA4" w:rsidP="004953C2">
      <w:pPr>
        <w:spacing w:beforeLines="100" w:before="312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三季度，仅西部地区</w:t>
      </w:r>
      <w:r w:rsidR="00661EA7">
        <w:rPr>
          <w:rFonts w:ascii="仿宋" w:eastAsia="仿宋" w:hAnsi="仿宋" w:hint="eastAsia"/>
          <w:sz w:val="30"/>
          <w:szCs w:val="30"/>
        </w:rPr>
        <w:t>营收</w:t>
      </w:r>
      <w:r>
        <w:rPr>
          <w:rFonts w:ascii="仿宋" w:eastAsia="仿宋" w:hAnsi="仿宋" w:hint="eastAsia"/>
          <w:sz w:val="30"/>
          <w:szCs w:val="30"/>
        </w:rPr>
        <w:t>增速出现下滑，其余三大区</w:t>
      </w:r>
      <w:r w:rsidR="000D517D">
        <w:rPr>
          <w:rFonts w:ascii="仿宋" w:eastAsia="仿宋" w:hAnsi="仿宋" w:hint="eastAsia"/>
          <w:sz w:val="30"/>
          <w:szCs w:val="30"/>
        </w:rPr>
        <w:t>均呈上升态势。</w:t>
      </w:r>
      <w:r w:rsidR="00565E50" w:rsidRPr="00565E50">
        <w:rPr>
          <w:rFonts w:ascii="仿宋" w:eastAsia="仿宋" w:hAnsi="仿宋" w:hint="eastAsia"/>
          <w:b/>
          <w:sz w:val="30"/>
          <w:szCs w:val="30"/>
        </w:rPr>
        <w:t>中部地区</w:t>
      </w:r>
      <w:r w:rsidR="00BC3F5B" w:rsidRPr="00BC3F5B">
        <w:rPr>
          <w:rFonts w:ascii="仿宋" w:eastAsia="仿宋" w:hAnsi="仿宋" w:hint="eastAsia"/>
          <w:sz w:val="30"/>
          <w:szCs w:val="30"/>
        </w:rPr>
        <w:t>凭借</w:t>
      </w:r>
      <w:r w:rsidR="00BC3F5B">
        <w:rPr>
          <w:rFonts w:ascii="仿宋" w:eastAsia="仿宋" w:hAnsi="仿宋" w:hint="eastAsia"/>
          <w:sz w:val="30"/>
          <w:szCs w:val="30"/>
        </w:rPr>
        <w:t>21.0%的营收增速</w:t>
      </w:r>
      <w:r w:rsidR="00565E50">
        <w:rPr>
          <w:rFonts w:ascii="仿宋" w:eastAsia="仿宋" w:hAnsi="仿宋" w:hint="eastAsia"/>
          <w:sz w:val="30"/>
          <w:szCs w:val="30"/>
        </w:rPr>
        <w:t>跃居第一位，</w:t>
      </w:r>
      <w:r w:rsidR="00F60C66">
        <w:rPr>
          <w:rFonts w:ascii="仿宋" w:eastAsia="仿宋" w:hAnsi="仿宋" w:hint="eastAsia"/>
          <w:sz w:val="30"/>
          <w:szCs w:val="30"/>
        </w:rPr>
        <w:t>创年度最高值，较上半年提高3.4个百分</w:t>
      </w:r>
      <w:r w:rsidR="0076446E">
        <w:rPr>
          <w:rFonts w:ascii="仿宋" w:eastAsia="仿宋" w:hAnsi="仿宋" w:hint="eastAsia"/>
          <w:sz w:val="30"/>
          <w:szCs w:val="30"/>
        </w:rPr>
        <w:t>点，</w:t>
      </w:r>
      <w:r w:rsidR="000F0447">
        <w:rPr>
          <w:rFonts w:ascii="仿宋" w:eastAsia="仿宋" w:hAnsi="仿宋" w:hint="eastAsia"/>
          <w:sz w:val="30"/>
          <w:szCs w:val="30"/>
        </w:rPr>
        <w:t>现</w:t>
      </w:r>
      <w:r w:rsidR="0076446E">
        <w:rPr>
          <w:rFonts w:ascii="仿宋" w:eastAsia="仿宋" w:hAnsi="仿宋" w:hint="eastAsia"/>
          <w:sz w:val="30"/>
          <w:szCs w:val="30"/>
        </w:rPr>
        <w:t>已成为战略性新兴产业发展</w:t>
      </w:r>
      <w:r w:rsidR="000F0447">
        <w:rPr>
          <w:rFonts w:ascii="仿宋" w:eastAsia="仿宋" w:hAnsi="仿宋" w:hint="eastAsia"/>
          <w:sz w:val="30"/>
          <w:szCs w:val="30"/>
        </w:rPr>
        <w:t>的</w:t>
      </w:r>
      <w:r w:rsidR="007334AF" w:rsidRPr="00600F32">
        <w:rPr>
          <w:rFonts w:ascii="仿宋" w:eastAsia="仿宋" w:hAnsi="仿宋" w:hint="eastAsia"/>
          <w:sz w:val="30"/>
          <w:szCs w:val="30"/>
        </w:rPr>
        <w:t>引领力量</w:t>
      </w:r>
      <w:r w:rsidR="0076446E" w:rsidRPr="007334AF">
        <w:rPr>
          <w:rFonts w:ascii="仿宋" w:eastAsia="仿宋" w:hAnsi="仿宋" w:hint="eastAsia"/>
          <w:sz w:val="30"/>
          <w:szCs w:val="30"/>
        </w:rPr>
        <w:t>。</w:t>
      </w:r>
      <w:r w:rsidR="00FD5C32">
        <w:rPr>
          <w:rFonts w:ascii="仿宋" w:eastAsia="仿宋" w:hAnsi="仿宋" w:hint="eastAsia"/>
          <w:sz w:val="30"/>
          <w:szCs w:val="30"/>
        </w:rPr>
        <w:t>分省来看</w:t>
      </w:r>
      <w:r w:rsidR="00051E81">
        <w:rPr>
          <w:rFonts w:ascii="仿宋" w:eastAsia="仿宋" w:hAnsi="仿宋" w:hint="eastAsia"/>
          <w:sz w:val="30"/>
          <w:szCs w:val="30"/>
        </w:rPr>
        <w:t>，</w:t>
      </w:r>
      <w:r w:rsidR="009C4370">
        <w:rPr>
          <w:rFonts w:ascii="仿宋" w:eastAsia="仿宋" w:hAnsi="仿宋" w:hint="eastAsia"/>
          <w:sz w:val="30"/>
          <w:szCs w:val="30"/>
        </w:rPr>
        <w:t>新材料和新一代信息技术的快速发展使</w:t>
      </w:r>
      <w:r w:rsidR="007B5746">
        <w:rPr>
          <w:rFonts w:ascii="仿宋" w:eastAsia="仿宋" w:hAnsi="仿宋" w:hint="eastAsia"/>
          <w:sz w:val="30"/>
          <w:szCs w:val="30"/>
        </w:rPr>
        <w:t>安徽省以31.3%的营收增速位列中部地区首位，湖北省以</w:t>
      </w:r>
      <w:r w:rsidR="005832A2">
        <w:rPr>
          <w:rFonts w:ascii="仿宋" w:eastAsia="仿宋" w:hAnsi="仿宋" w:hint="eastAsia"/>
          <w:sz w:val="30"/>
          <w:szCs w:val="30"/>
        </w:rPr>
        <w:t>0.1%的</w:t>
      </w:r>
      <w:proofErr w:type="gramStart"/>
      <w:r w:rsidR="005832A2">
        <w:rPr>
          <w:rFonts w:ascii="仿宋" w:eastAsia="仿宋" w:hAnsi="仿宋" w:hint="eastAsia"/>
          <w:sz w:val="30"/>
          <w:szCs w:val="30"/>
        </w:rPr>
        <w:t>差距</w:t>
      </w:r>
      <w:r w:rsidR="007B5746">
        <w:rPr>
          <w:rFonts w:ascii="仿宋" w:eastAsia="仿宋" w:hAnsi="仿宋" w:hint="eastAsia"/>
          <w:sz w:val="30"/>
          <w:szCs w:val="30"/>
        </w:rPr>
        <w:t>居</w:t>
      </w:r>
      <w:proofErr w:type="gramEnd"/>
      <w:r w:rsidR="007B5746">
        <w:rPr>
          <w:rFonts w:ascii="仿宋" w:eastAsia="仿宋" w:hAnsi="仿宋" w:hint="eastAsia"/>
          <w:sz w:val="30"/>
          <w:szCs w:val="30"/>
        </w:rPr>
        <w:t>第二</w:t>
      </w:r>
      <w:r w:rsidR="00661EA7">
        <w:rPr>
          <w:rFonts w:ascii="仿宋" w:eastAsia="仿宋" w:hAnsi="仿宋" w:hint="eastAsia"/>
          <w:sz w:val="30"/>
          <w:szCs w:val="30"/>
        </w:rPr>
        <w:t>位</w:t>
      </w:r>
      <w:r w:rsidR="007B5746">
        <w:rPr>
          <w:rFonts w:ascii="仿宋" w:eastAsia="仿宋" w:hAnsi="仿宋" w:hint="eastAsia"/>
          <w:sz w:val="30"/>
          <w:szCs w:val="30"/>
        </w:rPr>
        <w:t>，河南和江西增速均超过20%</w:t>
      </w:r>
      <w:r w:rsidR="0094717C">
        <w:rPr>
          <w:rFonts w:ascii="仿宋" w:eastAsia="仿宋" w:hAnsi="仿宋" w:hint="eastAsia"/>
          <w:sz w:val="30"/>
          <w:szCs w:val="30"/>
        </w:rPr>
        <w:t>，但也应看到山西省营收增速已连续三个季度</w:t>
      </w:r>
      <w:r w:rsidR="00661EA7">
        <w:rPr>
          <w:rFonts w:ascii="仿宋" w:eastAsia="仿宋" w:hAnsi="仿宋" w:hint="eastAsia"/>
          <w:sz w:val="30"/>
          <w:szCs w:val="30"/>
        </w:rPr>
        <w:t>放缓</w:t>
      </w:r>
      <w:r w:rsidR="0094717C">
        <w:rPr>
          <w:rFonts w:ascii="仿宋" w:eastAsia="仿宋" w:hAnsi="仿宋" w:hint="eastAsia"/>
          <w:sz w:val="30"/>
          <w:szCs w:val="30"/>
        </w:rPr>
        <w:t>。</w:t>
      </w:r>
      <w:r w:rsidR="00BA7F72">
        <w:rPr>
          <w:rFonts w:ascii="仿宋" w:eastAsia="仿宋" w:hAnsi="仿宋" w:hint="eastAsia"/>
          <w:sz w:val="30"/>
          <w:szCs w:val="30"/>
        </w:rPr>
        <w:t>分领域来看</w:t>
      </w:r>
      <w:r w:rsidR="00652167">
        <w:rPr>
          <w:rFonts w:ascii="仿宋" w:eastAsia="仿宋" w:hAnsi="仿宋" w:hint="eastAsia"/>
          <w:sz w:val="30"/>
          <w:szCs w:val="30"/>
        </w:rPr>
        <w:t>，重点领域</w:t>
      </w:r>
      <w:r>
        <w:rPr>
          <w:rFonts w:ascii="仿宋" w:eastAsia="仿宋" w:hAnsi="仿宋" w:hint="eastAsia"/>
          <w:sz w:val="30"/>
          <w:szCs w:val="30"/>
        </w:rPr>
        <w:t>营收快速增长带动中部地区整体业绩提高</w:t>
      </w:r>
      <w:r w:rsidR="00652167">
        <w:rPr>
          <w:rFonts w:ascii="仿宋" w:eastAsia="仿宋" w:hAnsi="仿宋" w:hint="eastAsia"/>
          <w:sz w:val="30"/>
          <w:szCs w:val="30"/>
        </w:rPr>
        <w:t>，其中高端装备、数字创意与新能源营收增速超过30%，三季度增速分别达到54.6%、31.0%和30.3%；</w:t>
      </w:r>
      <w:r w:rsidR="00C563A4" w:rsidRPr="00C563A4">
        <w:rPr>
          <w:rFonts w:ascii="仿宋" w:eastAsia="仿宋" w:hAnsi="仿宋" w:hint="eastAsia"/>
          <w:b/>
          <w:sz w:val="30"/>
          <w:szCs w:val="30"/>
        </w:rPr>
        <w:t>东部地区</w:t>
      </w:r>
      <w:r w:rsidR="009D765A" w:rsidRPr="009D765A">
        <w:rPr>
          <w:rFonts w:ascii="仿宋" w:eastAsia="仿宋" w:hAnsi="仿宋" w:hint="eastAsia"/>
          <w:sz w:val="30"/>
          <w:szCs w:val="30"/>
        </w:rPr>
        <w:t>产业规模不断扩大，前三季度营收总额达16807.8亿元，</w:t>
      </w:r>
      <w:r w:rsidR="00661EA7">
        <w:rPr>
          <w:rFonts w:ascii="仿宋" w:eastAsia="仿宋" w:hAnsi="仿宋" w:hint="eastAsia"/>
          <w:sz w:val="30"/>
          <w:szCs w:val="30"/>
        </w:rPr>
        <w:t>占总体78.8%，</w:t>
      </w:r>
      <w:r w:rsidR="00C563A4" w:rsidRPr="00C563A4">
        <w:rPr>
          <w:rFonts w:ascii="仿宋" w:eastAsia="仿宋" w:hAnsi="仿宋" w:hint="eastAsia"/>
          <w:sz w:val="30"/>
          <w:szCs w:val="30"/>
        </w:rPr>
        <w:t>营收</w:t>
      </w:r>
      <w:r w:rsidR="00C563A4">
        <w:rPr>
          <w:rFonts w:ascii="仿宋" w:eastAsia="仿宋" w:hAnsi="仿宋" w:hint="eastAsia"/>
          <w:sz w:val="30"/>
          <w:szCs w:val="30"/>
        </w:rPr>
        <w:t>增速连续六个季度保持增长态势，本期以19.4%的业绩位列第二，较上半年提高1.1个百分点</w:t>
      </w:r>
      <w:r w:rsidR="00CB4428">
        <w:rPr>
          <w:rFonts w:ascii="仿宋" w:eastAsia="仿宋" w:hAnsi="仿宋" w:hint="eastAsia"/>
          <w:sz w:val="30"/>
          <w:szCs w:val="30"/>
        </w:rPr>
        <w:t>。</w:t>
      </w:r>
      <w:r w:rsidR="00C933B5">
        <w:rPr>
          <w:rFonts w:ascii="仿宋" w:eastAsia="仿宋" w:hAnsi="仿宋" w:hint="eastAsia"/>
          <w:sz w:val="30"/>
          <w:szCs w:val="30"/>
        </w:rPr>
        <w:t>其中，</w:t>
      </w:r>
      <w:r w:rsidR="008B21AD">
        <w:rPr>
          <w:rFonts w:ascii="仿宋" w:eastAsia="仿宋" w:hAnsi="仿宋" w:hint="eastAsia"/>
          <w:sz w:val="30"/>
          <w:szCs w:val="30"/>
        </w:rPr>
        <w:t>江苏省</w:t>
      </w:r>
      <w:r w:rsidR="00614C10">
        <w:rPr>
          <w:rFonts w:ascii="仿宋" w:eastAsia="仿宋" w:hAnsi="仿宋" w:hint="eastAsia"/>
          <w:sz w:val="30"/>
          <w:szCs w:val="30"/>
        </w:rPr>
        <w:t>凭借新一代信息技术和新材料的出色表现，</w:t>
      </w:r>
      <w:r w:rsidR="008B21AD">
        <w:rPr>
          <w:rFonts w:ascii="仿宋" w:eastAsia="仿宋" w:hAnsi="仿宋" w:hint="eastAsia"/>
          <w:sz w:val="30"/>
          <w:szCs w:val="30"/>
        </w:rPr>
        <w:t>以28.5%的增速</w:t>
      </w:r>
      <w:r w:rsidR="007F1B3C">
        <w:rPr>
          <w:rFonts w:ascii="仿宋" w:eastAsia="仿宋" w:hAnsi="仿宋" w:hint="eastAsia"/>
          <w:sz w:val="30"/>
          <w:szCs w:val="30"/>
        </w:rPr>
        <w:t>蝉联</w:t>
      </w:r>
      <w:r w:rsidR="008B21AD">
        <w:rPr>
          <w:rFonts w:ascii="仿宋" w:eastAsia="仿宋" w:hAnsi="仿宋" w:hint="eastAsia"/>
          <w:sz w:val="30"/>
          <w:szCs w:val="30"/>
        </w:rPr>
        <w:t>第一位，</w:t>
      </w:r>
      <w:r w:rsidR="00822B08">
        <w:rPr>
          <w:rFonts w:ascii="仿宋" w:eastAsia="仿宋" w:hAnsi="仿宋" w:hint="eastAsia"/>
          <w:sz w:val="30"/>
          <w:szCs w:val="30"/>
        </w:rPr>
        <w:t>山东、上海、福建和浙江营收增速均超过20%。</w:t>
      </w:r>
      <w:r w:rsidR="00CC2210">
        <w:rPr>
          <w:rFonts w:ascii="仿宋" w:eastAsia="仿宋" w:hAnsi="仿宋" w:hint="eastAsia"/>
          <w:sz w:val="30"/>
          <w:szCs w:val="30"/>
        </w:rPr>
        <w:t>从重点领域来看，</w:t>
      </w:r>
      <w:r w:rsidR="00EB1A0B">
        <w:rPr>
          <w:rFonts w:ascii="仿宋" w:eastAsia="仿宋" w:hAnsi="仿宋" w:hint="eastAsia"/>
          <w:sz w:val="30"/>
          <w:szCs w:val="30"/>
        </w:rPr>
        <w:t>数字创意、节能环保和新材料</w:t>
      </w:r>
      <w:r w:rsidR="00187920">
        <w:rPr>
          <w:rFonts w:ascii="仿宋" w:eastAsia="仿宋" w:hAnsi="仿宋" w:hint="eastAsia"/>
          <w:sz w:val="30"/>
          <w:szCs w:val="30"/>
        </w:rPr>
        <w:t>营收增速较上半年</w:t>
      </w:r>
      <w:r w:rsidR="00BA2163">
        <w:rPr>
          <w:rFonts w:ascii="仿宋" w:eastAsia="仿宋" w:hAnsi="仿宋" w:hint="eastAsia"/>
          <w:sz w:val="30"/>
          <w:szCs w:val="30"/>
        </w:rPr>
        <w:t>有所提高</w:t>
      </w:r>
      <w:r w:rsidR="00187920">
        <w:rPr>
          <w:rFonts w:ascii="仿宋" w:eastAsia="仿宋" w:hAnsi="仿宋" w:hint="eastAsia"/>
          <w:sz w:val="30"/>
          <w:szCs w:val="30"/>
        </w:rPr>
        <w:t>。</w:t>
      </w:r>
      <w:r w:rsidR="0039699E" w:rsidRPr="0039699E">
        <w:rPr>
          <w:rFonts w:ascii="仿宋" w:eastAsia="仿宋" w:hAnsi="仿宋" w:hint="eastAsia"/>
          <w:b/>
          <w:sz w:val="30"/>
          <w:szCs w:val="30"/>
        </w:rPr>
        <w:t>西部地区</w:t>
      </w:r>
      <w:r w:rsidR="0039699E">
        <w:rPr>
          <w:rFonts w:ascii="仿宋" w:eastAsia="仿宋" w:hAnsi="仿宋" w:hint="eastAsia"/>
          <w:sz w:val="30"/>
          <w:szCs w:val="30"/>
        </w:rPr>
        <w:t>位列第三，</w:t>
      </w:r>
      <w:r w:rsidR="00637F86">
        <w:rPr>
          <w:rFonts w:ascii="仿宋" w:eastAsia="仿宋" w:hAnsi="仿宋" w:hint="eastAsia"/>
          <w:sz w:val="30"/>
          <w:szCs w:val="30"/>
        </w:rPr>
        <w:t>本期营收增速为11.7%，较上半年</w:t>
      </w:r>
      <w:r w:rsidR="008B4794">
        <w:rPr>
          <w:rFonts w:ascii="仿宋" w:eastAsia="仿宋" w:hAnsi="仿宋" w:hint="eastAsia"/>
          <w:sz w:val="30"/>
          <w:szCs w:val="30"/>
        </w:rPr>
        <w:t>回落</w:t>
      </w:r>
      <w:r w:rsidR="00637F86">
        <w:rPr>
          <w:rFonts w:ascii="仿宋" w:eastAsia="仿宋" w:hAnsi="仿宋" w:hint="eastAsia"/>
          <w:sz w:val="30"/>
          <w:szCs w:val="30"/>
        </w:rPr>
        <w:t>2.8个百分点。</w:t>
      </w:r>
      <w:r w:rsidR="008B4794">
        <w:rPr>
          <w:rFonts w:ascii="仿宋" w:eastAsia="仿宋" w:hAnsi="仿宋" w:hint="eastAsia"/>
          <w:sz w:val="30"/>
          <w:szCs w:val="30"/>
        </w:rPr>
        <w:t>其中，</w:t>
      </w:r>
      <w:r w:rsidR="00A75F1A">
        <w:rPr>
          <w:rFonts w:ascii="仿宋" w:eastAsia="仿宋" w:hAnsi="仿宋" w:hint="eastAsia"/>
          <w:sz w:val="30"/>
          <w:szCs w:val="30"/>
        </w:rPr>
        <w:t>新能源</w:t>
      </w:r>
      <w:r w:rsidR="00E36ECD">
        <w:rPr>
          <w:rFonts w:ascii="仿宋" w:eastAsia="仿宋" w:hAnsi="仿宋" w:hint="eastAsia"/>
          <w:sz w:val="30"/>
          <w:szCs w:val="30"/>
        </w:rPr>
        <w:t>连续三季度呈下降趋势，</w:t>
      </w:r>
      <w:r w:rsidR="008B4794">
        <w:rPr>
          <w:rFonts w:ascii="仿宋" w:eastAsia="仿宋" w:hAnsi="仿宋" w:hint="eastAsia"/>
          <w:sz w:val="30"/>
          <w:szCs w:val="30"/>
        </w:rPr>
        <w:t>本期下滑至10.6%</w:t>
      </w:r>
      <w:r w:rsidR="00E36ECD">
        <w:rPr>
          <w:rFonts w:ascii="仿宋" w:eastAsia="仿宋" w:hAnsi="仿宋" w:hint="eastAsia"/>
          <w:sz w:val="30"/>
          <w:szCs w:val="30"/>
        </w:rPr>
        <w:t>，低于上半年21个百分点</w:t>
      </w:r>
      <w:r w:rsidR="0075737E">
        <w:rPr>
          <w:rFonts w:ascii="仿宋" w:eastAsia="仿宋" w:hAnsi="仿宋" w:hint="eastAsia"/>
          <w:sz w:val="30"/>
          <w:szCs w:val="30"/>
        </w:rPr>
        <w:t>。</w:t>
      </w:r>
      <w:r w:rsidR="00BA2163" w:rsidRPr="00BA2163">
        <w:rPr>
          <w:rFonts w:ascii="仿宋" w:eastAsia="仿宋" w:hAnsi="仿宋" w:hint="eastAsia"/>
          <w:b/>
          <w:sz w:val="30"/>
          <w:szCs w:val="30"/>
        </w:rPr>
        <w:t>东北地区</w:t>
      </w:r>
      <w:r w:rsidR="0039699E">
        <w:rPr>
          <w:rFonts w:ascii="仿宋" w:eastAsia="仿宋" w:hAnsi="仿宋" w:hint="eastAsia"/>
          <w:sz w:val="30"/>
          <w:szCs w:val="30"/>
        </w:rPr>
        <w:t>一扫</w:t>
      </w:r>
      <w:r w:rsidR="00101522">
        <w:rPr>
          <w:rFonts w:ascii="仿宋" w:eastAsia="仿宋" w:hAnsi="仿宋" w:hint="eastAsia"/>
          <w:sz w:val="30"/>
          <w:szCs w:val="30"/>
        </w:rPr>
        <w:t>前两</w:t>
      </w:r>
      <w:r w:rsidR="0039699E">
        <w:rPr>
          <w:rFonts w:ascii="仿宋" w:eastAsia="仿宋" w:hAnsi="仿宋" w:hint="eastAsia"/>
          <w:sz w:val="30"/>
          <w:szCs w:val="30"/>
        </w:rPr>
        <w:t>季度营收增速负增长的阴霾，以2.1%位列第四。</w:t>
      </w:r>
      <w:r w:rsidR="003A309F">
        <w:rPr>
          <w:rFonts w:ascii="仿宋" w:eastAsia="仿宋" w:hAnsi="仿宋" w:hint="eastAsia"/>
          <w:sz w:val="30"/>
          <w:szCs w:val="30"/>
        </w:rPr>
        <w:t>本期</w:t>
      </w:r>
      <w:r w:rsidR="00101522">
        <w:rPr>
          <w:rFonts w:ascii="仿宋" w:eastAsia="仿宋" w:hAnsi="仿宋" w:hint="eastAsia"/>
          <w:sz w:val="30"/>
          <w:szCs w:val="30"/>
        </w:rPr>
        <w:t>增长主要由</w:t>
      </w:r>
      <w:r w:rsidR="006A533E">
        <w:rPr>
          <w:rFonts w:ascii="仿宋" w:eastAsia="仿宋" w:hAnsi="仿宋" w:hint="eastAsia"/>
          <w:sz w:val="30"/>
          <w:szCs w:val="30"/>
        </w:rPr>
        <w:t>吉林省</w:t>
      </w:r>
      <w:r w:rsidR="00101522">
        <w:rPr>
          <w:rFonts w:ascii="仿宋" w:eastAsia="仿宋" w:hAnsi="仿宋" w:hint="eastAsia"/>
          <w:sz w:val="30"/>
          <w:szCs w:val="30"/>
        </w:rPr>
        <w:t>贡献，</w:t>
      </w:r>
      <w:r w:rsidR="003A309F">
        <w:rPr>
          <w:rFonts w:ascii="仿宋" w:eastAsia="仿宋" w:hAnsi="仿宋" w:hint="eastAsia"/>
          <w:sz w:val="30"/>
          <w:szCs w:val="30"/>
        </w:rPr>
        <w:t>其</w:t>
      </w:r>
      <w:r w:rsidR="00101522">
        <w:rPr>
          <w:rFonts w:ascii="仿宋" w:eastAsia="仿宋" w:hAnsi="仿宋" w:hint="eastAsia"/>
          <w:sz w:val="30"/>
          <w:szCs w:val="30"/>
        </w:rPr>
        <w:t>营收增速较上半年提高7.5个</w:t>
      </w:r>
      <w:r w:rsidR="003A309F">
        <w:rPr>
          <w:rFonts w:ascii="仿宋" w:eastAsia="仿宋" w:hAnsi="仿宋" w:hint="eastAsia"/>
          <w:sz w:val="30"/>
          <w:szCs w:val="30"/>
        </w:rPr>
        <w:t>百分点。</w:t>
      </w:r>
      <w:r w:rsidR="00480D68">
        <w:rPr>
          <w:rFonts w:ascii="仿宋" w:eastAsia="仿宋" w:hAnsi="仿宋" w:hint="eastAsia"/>
          <w:sz w:val="30"/>
          <w:szCs w:val="30"/>
        </w:rPr>
        <w:t>（见图4）</w:t>
      </w:r>
    </w:p>
    <w:p w14:paraId="04F214CC" w14:textId="2AC9A312" w:rsidR="00364F3B" w:rsidRDefault="00364F3B" w:rsidP="00CF4C37">
      <w:pPr>
        <w:spacing w:beforeLines="100" w:before="312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2426F02C" w14:textId="6E1E51CF" w:rsidR="005863B5" w:rsidRDefault="005863B5" w:rsidP="00CF4C37">
      <w:pPr>
        <w:spacing w:beforeLines="100" w:before="312" w:line="360" w:lineRule="auto"/>
        <w:ind w:firstLineChars="200" w:firstLine="562"/>
        <w:rPr>
          <w:rFonts w:ascii="仿宋" w:eastAsia="仿宋" w:hAnsi="仿宋"/>
          <w:sz w:val="30"/>
          <w:szCs w:val="30"/>
        </w:rPr>
      </w:pPr>
      <w:r w:rsidRPr="00FA70DE">
        <w:rPr>
          <w:rFonts w:ascii="黑体" w:eastAsia="黑体" w:hAnsi="黑体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725824" behindDoc="0" locked="0" layoutInCell="1" allowOverlap="1" wp14:anchorId="793B2906" wp14:editId="707F618B">
            <wp:simplePos x="0" y="0"/>
            <wp:positionH relativeFrom="column">
              <wp:posOffset>147320</wp:posOffset>
            </wp:positionH>
            <wp:positionV relativeFrom="paragraph">
              <wp:posOffset>125730</wp:posOffset>
            </wp:positionV>
            <wp:extent cx="5114290" cy="1428750"/>
            <wp:effectExtent l="0" t="0" r="0" b="0"/>
            <wp:wrapNone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488B5" w14:textId="5B15CB1F" w:rsidR="00C824DC" w:rsidRDefault="00C824DC" w:rsidP="00CF4C37">
      <w:pPr>
        <w:spacing w:beforeLines="100" w:before="312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4068BE89" w14:textId="17CADD67" w:rsidR="00C824DC" w:rsidRDefault="007334AF" w:rsidP="00CF4C37">
      <w:pPr>
        <w:spacing w:beforeLines="100" w:before="312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E6582E" wp14:editId="5226FFE0">
                <wp:simplePos x="0" y="0"/>
                <wp:positionH relativeFrom="margin">
                  <wp:align>left</wp:align>
                </wp:positionH>
                <wp:positionV relativeFrom="paragraph">
                  <wp:posOffset>564515</wp:posOffset>
                </wp:positionV>
                <wp:extent cx="5247640" cy="281940"/>
                <wp:effectExtent l="0" t="0" r="0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95E57" w14:textId="688F1E1B" w:rsidR="005F7514" w:rsidRPr="00F11A1B" w:rsidRDefault="005F7514" w:rsidP="005F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1A1B">
                              <w:rPr>
                                <w:rFonts w:hint="eastAsia"/>
                                <w:b/>
                              </w:rPr>
                              <w:t>图</w:t>
                            </w:r>
                            <w:r w:rsidR="008C7AD9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各地区</w:t>
                            </w:r>
                            <w:r w:rsidRPr="00AF5D38">
                              <w:rPr>
                                <w:rFonts w:hint="eastAsia"/>
                                <w:b/>
                              </w:rPr>
                              <w:t>战略性新兴产业上市公司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营收增速对比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E6582E" id="_x0000_s1029" type="#_x0000_t202" style="position:absolute;left:0;text-align:left;margin-left:0;margin-top:44.45pt;width:413.2pt;height:22.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sHggIAABY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" stroked="f">
                <v:textbox>
                  <w:txbxContent>
                    <w:p w14:paraId="4F795E57" w14:textId="688F1E1B" w:rsidR="005F7514" w:rsidRPr="00F11A1B" w:rsidRDefault="005F7514" w:rsidP="005F7514">
                      <w:pPr>
                        <w:jc w:val="center"/>
                        <w:rPr>
                          <w:b/>
                        </w:rPr>
                      </w:pPr>
                      <w:r w:rsidRPr="00F11A1B">
                        <w:rPr>
                          <w:rFonts w:hint="eastAsia"/>
                          <w:b/>
                        </w:rPr>
                        <w:t>图</w:t>
                      </w:r>
                      <w:r w:rsidR="008C7AD9">
                        <w:rPr>
                          <w:b/>
                        </w:rPr>
                        <w:t>4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各地区</w:t>
                      </w:r>
                      <w:r w:rsidRPr="00AF5D38">
                        <w:rPr>
                          <w:rFonts w:hint="eastAsia"/>
                          <w:b/>
                        </w:rPr>
                        <w:t>战略性新兴产业上市公司</w:t>
                      </w:r>
                      <w:r>
                        <w:rPr>
                          <w:rFonts w:hint="eastAsia"/>
                          <w:b/>
                        </w:rPr>
                        <w:t>营收增速对比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B6C9A3" w14:textId="5C9C8093" w:rsidR="00042610" w:rsidRDefault="00042610" w:rsidP="00970D77">
      <w:pPr>
        <w:spacing w:beforeLines="100" w:before="312"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042610">
        <w:rPr>
          <w:rFonts w:ascii="仿宋" w:eastAsia="仿宋" w:hAnsi="仿宋" w:hint="eastAsia"/>
          <w:b/>
          <w:sz w:val="30"/>
          <w:szCs w:val="30"/>
        </w:rPr>
        <w:t>（四）</w:t>
      </w:r>
      <w:r w:rsidRPr="00C824DC">
        <w:rPr>
          <w:rFonts w:ascii="仿宋" w:eastAsia="仿宋" w:hAnsi="仿宋" w:hint="eastAsia"/>
          <w:b/>
          <w:sz w:val="30"/>
          <w:szCs w:val="30"/>
        </w:rPr>
        <w:t>民营企业</w:t>
      </w:r>
      <w:r w:rsidR="002E07E9" w:rsidRPr="00C824DC">
        <w:rPr>
          <w:rFonts w:ascii="仿宋" w:eastAsia="仿宋" w:hAnsi="仿宋" w:hint="eastAsia"/>
          <w:b/>
          <w:sz w:val="30"/>
          <w:szCs w:val="30"/>
        </w:rPr>
        <w:t>快速壮大</w:t>
      </w:r>
      <w:r w:rsidR="00C824DC" w:rsidRPr="00600F32">
        <w:rPr>
          <w:rFonts w:ascii="仿宋" w:eastAsia="仿宋" w:hAnsi="仿宋" w:hint="eastAsia"/>
          <w:b/>
          <w:sz w:val="30"/>
          <w:szCs w:val="30"/>
        </w:rPr>
        <w:t>且</w:t>
      </w:r>
      <w:r w:rsidR="00556B53" w:rsidRPr="00C824DC">
        <w:rPr>
          <w:rFonts w:ascii="仿宋" w:eastAsia="仿宋" w:hAnsi="仿宋" w:hint="eastAsia"/>
          <w:b/>
          <w:sz w:val="30"/>
          <w:szCs w:val="30"/>
        </w:rPr>
        <w:t>业绩表现</w:t>
      </w:r>
      <w:r w:rsidR="002E07E9" w:rsidRPr="00C824DC">
        <w:rPr>
          <w:rFonts w:ascii="仿宋" w:eastAsia="仿宋" w:hAnsi="仿宋" w:hint="eastAsia"/>
          <w:b/>
          <w:sz w:val="30"/>
          <w:szCs w:val="30"/>
        </w:rPr>
        <w:t>更胜一筹</w:t>
      </w:r>
    </w:p>
    <w:p w14:paraId="68104486" w14:textId="4B17F87C" w:rsidR="00DA7B99" w:rsidRDefault="00E47328" w:rsidP="00600F32">
      <w:pPr>
        <w:spacing w:beforeLines="100" w:before="312" w:line="360" w:lineRule="auto"/>
        <w:ind w:firstLineChars="300" w:firstLine="630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0DCA78D0" wp14:editId="4BB6199D">
            <wp:simplePos x="0" y="0"/>
            <wp:positionH relativeFrom="margin">
              <wp:posOffset>38100</wp:posOffset>
            </wp:positionH>
            <wp:positionV relativeFrom="paragraph">
              <wp:posOffset>2537460</wp:posOffset>
            </wp:positionV>
            <wp:extent cx="5775325" cy="1619250"/>
            <wp:effectExtent l="0" t="0" r="15875" b="0"/>
            <wp:wrapNone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DA7B9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C356AC" wp14:editId="33B44839">
                <wp:simplePos x="0" y="0"/>
                <wp:positionH relativeFrom="column">
                  <wp:posOffset>274955</wp:posOffset>
                </wp:positionH>
                <wp:positionV relativeFrom="paragraph">
                  <wp:posOffset>4208780</wp:posOffset>
                </wp:positionV>
                <wp:extent cx="5043805" cy="344170"/>
                <wp:effectExtent l="0" t="0" r="4445" b="0"/>
                <wp:wrapNone/>
                <wp:docPr id="29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1125D" w14:textId="2D339DD4" w:rsidR="00042610" w:rsidRPr="00F11A1B" w:rsidRDefault="00042610" w:rsidP="000426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1A1B">
                              <w:rPr>
                                <w:rFonts w:hint="eastAsia"/>
                                <w:b/>
                              </w:rPr>
                              <w:t>图</w:t>
                            </w:r>
                            <w:r w:rsidR="007E588E"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222E58">
                              <w:rPr>
                                <w:b/>
                              </w:rPr>
                              <w:t>三季度</w:t>
                            </w:r>
                            <w:r w:rsidRPr="00AF5D38">
                              <w:rPr>
                                <w:rFonts w:hint="eastAsia"/>
                                <w:b/>
                              </w:rPr>
                              <w:t>战略性新兴产业</w:t>
                            </w:r>
                            <w:r w:rsidR="00FB00FB">
                              <w:rPr>
                                <w:rFonts w:hint="eastAsia"/>
                                <w:b/>
                              </w:rPr>
                              <w:t>重点领域民营</w:t>
                            </w:r>
                            <w:r w:rsidRPr="00AF5D38">
                              <w:rPr>
                                <w:rFonts w:hint="eastAsia"/>
                                <w:b/>
                              </w:rPr>
                              <w:t>上市公司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数量</w:t>
                            </w:r>
                            <w:r w:rsidR="00222E58">
                              <w:rPr>
                                <w:rFonts w:hint="eastAsia"/>
                                <w:b/>
                              </w:rPr>
                              <w:t>及</w:t>
                            </w:r>
                            <w:r w:rsidR="00222E58">
                              <w:rPr>
                                <w:b/>
                              </w:rPr>
                              <w:t>占比</w:t>
                            </w:r>
                          </w:p>
                          <w:p w14:paraId="233A5174" w14:textId="77777777" w:rsidR="00042610" w:rsidRPr="005137A9" w:rsidRDefault="00042610" w:rsidP="000426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C356AC" id="文本框 29" o:spid="_x0000_s1030" type="#_x0000_t202" style="position:absolute;left:0;text-align:left;margin-left:21.65pt;margin-top:331.4pt;width:397.15pt;height:27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" stroked="f">
                <v:textbox>
                  <w:txbxContent>
                    <w:p w14:paraId="4A51125D" w14:textId="2D339DD4" w:rsidR="00042610" w:rsidRPr="00F11A1B" w:rsidRDefault="00042610" w:rsidP="00042610">
                      <w:pPr>
                        <w:jc w:val="center"/>
                        <w:rPr>
                          <w:b/>
                        </w:rPr>
                      </w:pPr>
                      <w:r w:rsidRPr="00F11A1B">
                        <w:rPr>
                          <w:rFonts w:hint="eastAsia"/>
                          <w:b/>
                        </w:rPr>
                        <w:t>图</w:t>
                      </w:r>
                      <w:r w:rsidR="007E588E">
                        <w:rPr>
                          <w:b/>
                        </w:rPr>
                        <w:t>5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222E58">
                        <w:rPr>
                          <w:b/>
                        </w:rPr>
                        <w:t>三季度</w:t>
                      </w:r>
                      <w:r w:rsidRPr="00AF5D38">
                        <w:rPr>
                          <w:rFonts w:hint="eastAsia"/>
                          <w:b/>
                        </w:rPr>
                        <w:t>战略性新兴产业</w:t>
                      </w:r>
                      <w:r w:rsidR="00FB00FB">
                        <w:rPr>
                          <w:rFonts w:hint="eastAsia"/>
                          <w:b/>
                        </w:rPr>
                        <w:t>重点领域民营</w:t>
                      </w:r>
                      <w:r w:rsidRPr="00AF5D38">
                        <w:rPr>
                          <w:rFonts w:hint="eastAsia"/>
                          <w:b/>
                        </w:rPr>
                        <w:t>上市公司</w:t>
                      </w:r>
                      <w:r>
                        <w:rPr>
                          <w:rFonts w:hint="eastAsia"/>
                          <w:b/>
                        </w:rPr>
                        <w:t>数量</w:t>
                      </w:r>
                      <w:r w:rsidR="00222E58">
                        <w:rPr>
                          <w:rFonts w:hint="eastAsia"/>
                          <w:b/>
                        </w:rPr>
                        <w:t>及</w:t>
                      </w:r>
                      <w:r w:rsidR="00222E58">
                        <w:rPr>
                          <w:b/>
                        </w:rPr>
                        <w:t>占比</w:t>
                      </w:r>
                    </w:p>
                    <w:p w14:paraId="233A5174" w14:textId="77777777" w:rsidR="00042610" w:rsidRPr="005137A9" w:rsidRDefault="00042610" w:rsidP="0004261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41861">
        <w:rPr>
          <w:rFonts w:ascii="仿宋" w:eastAsia="仿宋" w:hAnsi="仿宋" w:hint="eastAsia"/>
          <w:sz w:val="30"/>
          <w:szCs w:val="30"/>
        </w:rPr>
        <w:t>三季度，民营企业在数量和增速方面表现</w:t>
      </w:r>
      <w:r w:rsidR="00621A69">
        <w:rPr>
          <w:rFonts w:ascii="仿宋" w:eastAsia="仿宋" w:hAnsi="仿宋" w:hint="eastAsia"/>
          <w:sz w:val="30"/>
          <w:szCs w:val="30"/>
        </w:rPr>
        <w:t>良好</w:t>
      </w:r>
      <w:r w:rsidR="00693665">
        <w:rPr>
          <w:rFonts w:ascii="仿宋" w:eastAsia="仿宋" w:hAnsi="仿宋" w:hint="eastAsia"/>
          <w:sz w:val="30"/>
          <w:szCs w:val="30"/>
        </w:rPr>
        <w:t>，</w:t>
      </w:r>
      <w:r w:rsidR="00D602C5">
        <w:rPr>
          <w:rFonts w:ascii="仿宋" w:eastAsia="仿宋" w:hAnsi="仿宋" w:hint="eastAsia"/>
          <w:sz w:val="30"/>
          <w:szCs w:val="30"/>
        </w:rPr>
        <w:t>凭借</w:t>
      </w:r>
      <w:r w:rsidR="00693665">
        <w:rPr>
          <w:rFonts w:ascii="仿宋" w:eastAsia="仿宋" w:hAnsi="仿宋" w:hint="eastAsia"/>
          <w:sz w:val="30"/>
          <w:szCs w:val="30"/>
        </w:rPr>
        <w:t>快速发展</w:t>
      </w:r>
      <w:r w:rsidR="009C68F3">
        <w:rPr>
          <w:rFonts w:ascii="仿宋" w:eastAsia="仿宋" w:hAnsi="仿宋" w:hint="eastAsia"/>
          <w:sz w:val="30"/>
          <w:szCs w:val="30"/>
        </w:rPr>
        <w:t>的</w:t>
      </w:r>
      <w:r w:rsidR="00D602C5">
        <w:rPr>
          <w:rFonts w:ascii="仿宋" w:eastAsia="仿宋" w:hAnsi="仿宋" w:hint="eastAsia"/>
          <w:sz w:val="30"/>
          <w:szCs w:val="30"/>
        </w:rPr>
        <w:t>态势</w:t>
      </w:r>
      <w:r w:rsidR="009C68F3">
        <w:rPr>
          <w:rFonts w:ascii="仿宋" w:eastAsia="仿宋" w:hAnsi="仿宋" w:hint="eastAsia"/>
          <w:sz w:val="30"/>
          <w:szCs w:val="30"/>
        </w:rPr>
        <w:t>已</w:t>
      </w:r>
      <w:r w:rsidR="00693665">
        <w:rPr>
          <w:rFonts w:ascii="仿宋" w:eastAsia="仿宋" w:hAnsi="仿宋" w:hint="eastAsia"/>
          <w:sz w:val="30"/>
          <w:szCs w:val="30"/>
        </w:rPr>
        <w:t>成为战略性新兴产业</w:t>
      </w:r>
      <w:r w:rsidR="009C68F3">
        <w:rPr>
          <w:rFonts w:ascii="仿宋" w:eastAsia="仿宋" w:hAnsi="仿宋" w:hint="eastAsia"/>
          <w:sz w:val="30"/>
          <w:szCs w:val="30"/>
        </w:rPr>
        <w:t>的重要组成部分。</w:t>
      </w:r>
      <w:r w:rsidR="005062CF">
        <w:rPr>
          <w:rFonts w:ascii="仿宋" w:eastAsia="仿宋" w:hAnsi="仿宋" w:hint="eastAsia"/>
          <w:sz w:val="30"/>
          <w:szCs w:val="30"/>
        </w:rPr>
        <w:t>本期</w:t>
      </w:r>
      <w:r w:rsidR="007E588E">
        <w:rPr>
          <w:rFonts w:ascii="仿宋" w:eastAsia="仿宋" w:hAnsi="仿宋" w:hint="eastAsia"/>
          <w:sz w:val="30"/>
          <w:szCs w:val="30"/>
        </w:rPr>
        <w:t>在</w:t>
      </w:r>
      <w:r w:rsidR="00B6793D" w:rsidRPr="00600F32">
        <w:rPr>
          <w:rFonts w:ascii="仿宋" w:eastAsia="仿宋" w:hAnsi="仿宋"/>
          <w:color w:val="000000" w:themeColor="text1"/>
          <w:sz w:val="30"/>
          <w:szCs w:val="30"/>
        </w:rPr>
        <w:t>1106</w:t>
      </w:r>
      <w:r w:rsidR="007E588E" w:rsidRPr="00600F32">
        <w:rPr>
          <w:rFonts w:ascii="仿宋" w:eastAsia="仿宋" w:hAnsi="仿宋"/>
          <w:color w:val="000000" w:themeColor="text1"/>
          <w:sz w:val="30"/>
          <w:szCs w:val="30"/>
        </w:rPr>
        <w:t>家</w:t>
      </w:r>
      <w:r w:rsidR="007E588E">
        <w:rPr>
          <w:rFonts w:ascii="仿宋" w:eastAsia="仿宋" w:hAnsi="仿宋" w:hint="eastAsia"/>
          <w:sz w:val="30"/>
          <w:szCs w:val="30"/>
        </w:rPr>
        <w:t>战略性新兴产业上市公司中，民营企业共有</w:t>
      </w:r>
      <w:r w:rsidR="00B6793D" w:rsidRPr="00600F32">
        <w:rPr>
          <w:rFonts w:ascii="仿宋" w:eastAsia="仿宋" w:hAnsi="仿宋"/>
          <w:color w:val="000000" w:themeColor="text1"/>
          <w:sz w:val="30"/>
          <w:szCs w:val="30"/>
        </w:rPr>
        <w:t>733</w:t>
      </w:r>
      <w:r w:rsidR="007E588E" w:rsidRPr="00600F32">
        <w:rPr>
          <w:rFonts w:ascii="仿宋" w:eastAsia="仿宋" w:hAnsi="仿宋"/>
          <w:color w:val="000000" w:themeColor="text1"/>
          <w:sz w:val="30"/>
          <w:szCs w:val="30"/>
        </w:rPr>
        <w:t>家，占总数的</w:t>
      </w:r>
      <w:r w:rsidR="00B6793D" w:rsidRPr="00600F32">
        <w:rPr>
          <w:rFonts w:ascii="仿宋" w:eastAsia="仿宋" w:hAnsi="仿宋"/>
          <w:color w:val="000000" w:themeColor="text1"/>
          <w:sz w:val="30"/>
          <w:szCs w:val="30"/>
        </w:rPr>
        <w:t>66.3</w:t>
      </w:r>
      <w:r w:rsidR="007E588E" w:rsidRPr="00600F32">
        <w:rPr>
          <w:rFonts w:ascii="仿宋" w:eastAsia="仿宋" w:hAnsi="仿宋"/>
          <w:color w:val="000000" w:themeColor="text1"/>
          <w:sz w:val="30"/>
          <w:szCs w:val="30"/>
        </w:rPr>
        <w:t>%</w:t>
      </w:r>
      <w:r w:rsidR="007E588E">
        <w:rPr>
          <w:rFonts w:ascii="仿宋" w:eastAsia="仿宋" w:hAnsi="仿宋" w:hint="eastAsia"/>
          <w:sz w:val="30"/>
          <w:szCs w:val="30"/>
        </w:rPr>
        <w:t>。</w:t>
      </w:r>
      <w:r w:rsidR="00702D5A">
        <w:rPr>
          <w:rFonts w:ascii="仿宋" w:eastAsia="仿宋" w:hAnsi="仿宋" w:hint="eastAsia"/>
          <w:sz w:val="30"/>
          <w:szCs w:val="30"/>
        </w:rPr>
        <w:t>民营企业在各重点领域都已成为主体，</w:t>
      </w:r>
      <w:r w:rsidR="00DB2D69">
        <w:rPr>
          <w:rFonts w:ascii="仿宋" w:eastAsia="仿宋" w:hAnsi="仿宋" w:hint="eastAsia"/>
          <w:sz w:val="30"/>
          <w:szCs w:val="30"/>
        </w:rPr>
        <w:t>其中，新一代信息技术领域</w:t>
      </w:r>
      <w:r w:rsidR="00DA6CD0">
        <w:rPr>
          <w:rFonts w:ascii="仿宋" w:eastAsia="仿宋" w:hAnsi="仿宋" w:hint="eastAsia"/>
          <w:sz w:val="30"/>
          <w:szCs w:val="30"/>
        </w:rPr>
        <w:t>的民营企业</w:t>
      </w:r>
      <w:r w:rsidR="00DB2D69">
        <w:rPr>
          <w:rFonts w:ascii="仿宋" w:eastAsia="仿宋" w:hAnsi="仿宋" w:hint="eastAsia"/>
          <w:sz w:val="30"/>
          <w:szCs w:val="30"/>
        </w:rPr>
        <w:t>数量</w:t>
      </w:r>
      <w:r w:rsidR="00F871AB">
        <w:rPr>
          <w:rFonts w:ascii="仿宋" w:eastAsia="仿宋" w:hAnsi="仿宋" w:hint="eastAsia"/>
          <w:sz w:val="30"/>
          <w:szCs w:val="30"/>
        </w:rPr>
        <w:t>最多，三季度</w:t>
      </w:r>
      <w:r w:rsidR="00DA6CD0">
        <w:rPr>
          <w:rFonts w:ascii="仿宋" w:eastAsia="仿宋" w:hAnsi="仿宋" w:hint="eastAsia"/>
          <w:sz w:val="30"/>
          <w:szCs w:val="30"/>
        </w:rPr>
        <w:t>达</w:t>
      </w:r>
      <w:r w:rsidR="00C037E7">
        <w:rPr>
          <w:rFonts w:ascii="仿宋" w:eastAsia="仿宋" w:hAnsi="仿宋"/>
          <w:sz w:val="30"/>
          <w:szCs w:val="30"/>
        </w:rPr>
        <w:t>276</w:t>
      </w:r>
      <w:r w:rsidR="00DA6CD0">
        <w:rPr>
          <w:rFonts w:ascii="仿宋" w:eastAsia="仿宋" w:hAnsi="仿宋" w:hint="eastAsia"/>
          <w:sz w:val="30"/>
          <w:szCs w:val="30"/>
        </w:rPr>
        <w:t>家，</w:t>
      </w:r>
      <w:r w:rsidR="00F871AB">
        <w:rPr>
          <w:rFonts w:ascii="仿宋" w:eastAsia="仿宋" w:hAnsi="仿宋" w:hint="eastAsia"/>
          <w:sz w:val="30"/>
          <w:szCs w:val="30"/>
        </w:rPr>
        <w:t>占</w:t>
      </w:r>
      <w:r w:rsidR="00C037E7" w:rsidRPr="00600F32">
        <w:rPr>
          <w:rFonts w:ascii="仿宋" w:eastAsia="仿宋" w:hAnsi="仿宋" w:hint="eastAsia"/>
          <w:sz w:val="30"/>
          <w:szCs w:val="30"/>
        </w:rPr>
        <w:t>比达</w:t>
      </w:r>
      <w:r w:rsidR="005062CF">
        <w:rPr>
          <w:rFonts w:ascii="仿宋" w:eastAsia="仿宋" w:hAnsi="仿宋" w:hint="eastAsia"/>
          <w:sz w:val="30"/>
          <w:szCs w:val="30"/>
        </w:rPr>
        <w:t>66.</w:t>
      </w:r>
      <w:r w:rsidR="00C037E7">
        <w:rPr>
          <w:rFonts w:ascii="仿宋" w:eastAsia="仿宋" w:hAnsi="仿宋"/>
          <w:sz w:val="30"/>
          <w:szCs w:val="30"/>
        </w:rPr>
        <w:t>5</w:t>
      </w:r>
      <w:r w:rsidR="005062CF">
        <w:rPr>
          <w:rFonts w:ascii="仿宋" w:eastAsia="仿宋" w:hAnsi="仿宋" w:hint="eastAsia"/>
          <w:sz w:val="30"/>
          <w:szCs w:val="30"/>
        </w:rPr>
        <w:t>%</w:t>
      </w:r>
      <w:r w:rsidR="00F871AB">
        <w:rPr>
          <w:rFonts w:ascii="仿宋" w:eastAsia="仿宋" w:hAnsi="仿宋" w:hint="eastAsia"/>
          <w:sz w:val="30"/>
          <w:szCs w:val="30"/>
        </w:rPr>
        <w:t>；</w:t>
      </w:r>
      <w:r w:rsidR="00F871AB" w:rsidRPr="00C037E7">
        <w:rPr>
          <w:rFonts w:ascii="仿宋" w:eastAsia="仿宋" w:hAnsi="仿宋" w:hint="eastAsia"/>
          <w:sz w:val="30"/>
          <w:szCs w:val="30"/>
        </w:rPr>
        <w:t>生物领域民营企业占比相对最高</w:t>
      </w:r>
      <w:r w:rsidR="00426CFC" w:rsidRPr="00C037E7">
        <w:rPr>
          <w:rFonts w:ascii="仿宋" w:eastAsia="仿宋" w:hAnsi="仿宋" w:hint="eastAsia"/>
          <w:sz w:val="30"/>
          <w:szCs w:val="30"/>
        </w:rPr>
        <w:t>，三季度达</w:t>
      </w:r>
      <w:r w:rsidR="00C037E7" w:rsidRPr="00600F32">
        <w:rPr>
          <w:rFonts w:ascii="仿宋" w:eastAsia="仿宋" w:hAnsi="仿宋"/>
          <w:sz w:val="30"/>
          <w:szCs w:val="30"/>
        </w:rPr>
        <w:t>70.2</w:t>
      </w:r>
      <w:r w:rsidR="00426CFC" w:rsidRPr="00C037E7">
        <w:rPr>
          <w:rFonts w:ascii="仿宋" w:eastAsia="仿宋" w:hAnsi="仿宋"/>
          <w:sz w:val="30"/>
          <w:szCs w:val="30"/>
        </w:rPr>
        <w:t>%</w:t>
      </w:r>
      <w:r w:rsidR="003A46D4">
        <w:rPr>
          <w:rFonts w:ascii="仿宋" w:eastAsia="仿宋" w:hAnsi="仿宋" w:hint="eastAsia"/>
          <w:sz w:val="30"/>
          <w:szCs w:val="30"/>
        </w:rPr>
        <w:t>（见图5）</w:t>
      </w:r>
      <w:r w:rsidR="005062CF">
        <w:rPr>
          <w:rFonts w:ascii="仿宋" w:eastAsia="仿宋" w:hAnsi="仿宋" w:hint="eastAsia"/>
          <w:sz w:val="30"/>
          <w:szCs w:val="30"/>
        </w:rPr>
        <w:t>。</w:t>
      </w:r>
    </w:p>
    <w:p w14:paraId="228C80B9" w14:textId="02688BA1" w:rsidR="00E47328" w:rsidRDefault="00E47328" w:rsidP="00DA7B99">
      <w:pPr>
        <w:spacing w:beforeLines="100" w:before="312" w:line="360" w:lineRule="auto"/>
        <w:rPr>
          <w:noProof/>
        </w:rPr>
      </w:pPr>
    </w:p>
    <w:p w14:paraId="0332EFAF" w14:textId="77777777" w:rsidR="00E47328" w:rsidRDefault="00E47328" w:rsidP="00DA7B99">
      <w:pPr>
        <w:spacing w:beforeLines="100" w:before="312" w:line="360" w:lineRule="auto"/>
        <w:rPr>
          <w:noProof/>
        </w:rPr>
      </w:pPr>
    </w:p>
    <w:p w14:paraId="5421C212" w14:textId="77777777" w:rsidR="00E47328" w:rsidRDefault="00E47328" w:rsidP="00DA7B99">
      <w:pPr>
        <w:spacing w:beforeLines="100" w:before="312" w:line="360" w:lineRule="auto"/>
        <w:rPr>
          <w:noProof/>
        </w:rPr>
      </w:pPr>
    </w:p>
    <w:p w14:paraId="2FB34197" w14:textId="79C78A20" w:rsidR="00FB66BB" w:rsidRDefault="00925972" w:rsidP="00DA7B99">
      <w:pPr>
        <w:spacing w:beforeLines="100" w:before="312" w:line="360" w:lineRule="auto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b/>
          <w:noProof/>
          <w:sz w:val="28"/>
          <w:szCs w:val="28"/>
        </w:rPr>
        <w:drawing>
          <wp:anchor distT="0" distB="0" distL="114300" distR="114300" simplePos="0" relativeHeight="251745280" behindDoc="0" locked="0" layoutInCell="1" allowOverlap="1" wp14:anchorId="6452BC11" wp14:editId="53CB20FE">
            <wp:simplePos x="0" y="0"/>
            <wp:positionH relativeFrom="margin">
              <wp:align>right</wp:align>
            </wp:positionH>
            <wp:positionV relativeFrom="paragraph">
              <wp:posOffset>437515</wp:posOffset>
            </wp:positionV>
            <wp:extent cx="5524500" cy="1695450"/>
            <wp:effectExtent l="0" t="0" r="0" b="0"/>
            <wp:wrapNone/>
            <wp:docPr id="19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7B2" w:rsidRPr="002D17B2">
        <w:rPr>
          <w:noProof/>
        </w:rPr>
        <w:t xml:space="preserve"> </w:t>
      </w:r>
      <w:r w:rsidR="006702A2">
        <w:rPr>
          <w:rFonts w:ascii="仿宋" w:eastAsia="仿宋" w:hAnsi="仿宋"/>
          <w:sz w:val="30"/>
          <w:szCs w:val="30"/>
        </w:rPr>
        <w:t xml:space="preserve">   </w:t>
      </w:r>
    </w:p>
    <w:p w14:paraId="26F1DCDA" w14:textId="3D18E106" w:rsidR="00925972" w:rsidRDefault="00925972" w:rsidP="006702A2">
      <w:pPr>
        <w:spacing w:beforeLines="100" w:before="312" w:line="360" w:lineRule="auto"/>
        <w:jc w:val="left"/>
        <w:rPr>
          <w:rFonts w:ascii="仿宋" w:eastAsia="仿宋" w:hAnsi="仿宋"/>
          <w:sz w:val="30"/>
          <w:szCs w:val="30"/>
        </w:rPr>
      </w:pPr>
    </w:p>
    <w:p w14:paraId="27B26ABE" w14:textId="77777777" w:rsidR="00925972" w:rsidRDefault="00925972" w:rsidP="006702A2">
      <w:pPr>
        <w:spacing w:beforeLines="100" w:before="312" w:line="360" w:lineRule="auto"/>
        <w:jc w:val="left"/>
        <w:rPr>
          <w:rFonts w:ascii="仿宋" w:eastAsia="仿宋" w:hAnsi="仿宋"/>
          <w:sz w:val="30"/>
          <w:szCs w:val="30"/>
        </w:rPr>
      </w:pPr>
    </w:p>
    <w:p w14:paraId="02B5C2CF" w14:textId="775C8802" w:rsidR="00925972" w:rsidRDefault="00925972" w:rsidP="006702A2">
      <w:pPr>
        <w:spacing w:beforeLines="100" w:before="312" w:line="360" w:lineRule="auto"/>
        <w:jc w:val="left"/>
        <w:rPr>
          <w:rFonts w:ascii="仿宋" w:eastAsia="仿宋" w:hAnsi="仿宋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71A9D92" wp14:editId="4D3291C3">
                <wp:simplePos x="0" y="0"/>
                <wp:positionH relativeFrom="column">
                  <wp:posOffset>166370</wp:posOffset>
                </wp:positionH>
                <wp:positionV relativeFrom="paragraph">
                  <wp:posOffset>436245</wp:posOffset>
                </wp:positionV>
                <wp:extent cx="5043805" cy="344170"/>
                <wp:effectExtent l="0" t="0" r="4445" b="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00CC7" w14:textId="4BABDC3F" w:rsidR="00FB66BB" w:rsidRDefault="00FB66BB" w:rsidP="00FB66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1A1B">
                              <w:rPr>
                                <w:rFonts w:hint="eastAsia"/>
                                <w:b/>
                              </w:rPr>
                              <w:t>图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F5D38">
                              <w:rPr>
                                <w:rFonts w:hint="eastAsia"/>
                                <w:b/>
                              </w:rPr>
                              <w:t>战略性新兴产业上市公司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分属性营收增速</w:t>
                            </w:r>
                          </w:p>
                          <w:p w14:paraId="5A4705A8" w14:textId="77777777" w:rsidR="00FB66BB" w:rsidRPr="00F11A1B" w:rsidRDefault="00FB66BB" w:rsidP="00FB66BB">
                            <w:pPr>
                              <w:rPr>
                                <w:b/>
                              </w:rPr>
                            </w:pPr>
                          </w:p>
                          <w:p w14:paraId="71B0F64A" w14:textId="77777777" w:rsidR="00FB66BB" w:rsidRPr="005137A9" w:rsidRDefault="00FB66BB" w:rsidP="00FB66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1A9D92" id="文本框 11" o:spid="_x0000_s1031" type="#_x0000_t202" style="position:absolute;margin-left:13.1pt;margin-top:34.35pt;width:397.15pt;height:27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" stroked="f">
                <v:textbox>
                  <w:txbxContent>
                    <w:p w14:paraId="3D900CC7" w14:textId="4BABDC3F" w:rsidR="00FB66BB" w:rsidRDefault="00FB66BB" w:rsidP="00FB66BB">
                      <w:pPr>
                        <w:jc w:val="center"/>
                        <w:rPr>
                          <w:b/>
                        </w:rPr>
                      </w:pPr>
                      <w:r w:rsidRPr="00F11A1B">
                        <w:rPr>
                          <w:rFonts w:hint="eastAsia"/>
                          <w:b/>
                        </w:rPr>
                        <w:t>图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F5D38">
                        <w:rPr>
                          <w:rFonts w:hint="eastAsia"/>
                          <w:b/>
                        </w:rPr>
                        <w:t>战略性新兴产业上市公司</w:t>
                      </w:r>
                      <w:r>
                        <w:rPr>
                          <w:rFonts w:hint="eastAsia"/>
                          <w:b/>
                        </w:rPr>
                        <w:t>分属性营收增速</w:t>
                      </w:r>
                    </w:p>
                    <w:p w14:paraId="5A4705A8" w14:textId="77777777" w:rsidR="00FB66BB" w:rsidRPr="00F11A1B" w:rsidRDefault="00FB66BB" w:rsidP="00FB66BB">
                      <w:pPr>
                        <w:rPr>
                          <w:b/>
                        </w:rPr>
                      </w:pPr>
                    </w:p>
                    <w:p w14:paraId="71B0F64A" w14:textId="77777777" w:rsidR="00FB66BB" w:rsidRPr="005137A9" w:rsidRDefault="00FB66BB" w:rsidP="00FB66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6F97D14" w14:textId="53F088A0" w:rsidR="005863B5" w:rsidRDefault="006702A2" w:rsidP="005863B5">
      <w:pPr>
        <w:spacing w:beforeLines="100" w:before="312"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  <w:r w:rsidRPr="0036036E">
        <w:rPr>
          <w:rFonts w:ascii="仿宋" w:eastAsia="仿宋" w:hAnsi="仿宋"/>
          <w:sz w:val="30"/>
          <w:szCs w:val="30"/>
        </w:rPr>
        <w:lastRenderedPageBreak/>
        <w:t>2015年以来，民营企业营收增速始终高于国有企业，为战略性新兴产业发展注入活力。2016年前三季度，民营企业营收增速在31%上下波动，本期增速为31.4%，较去年同期提高0.8个百分点，高于国有企业23.2个百分点（见图6）。从利润增速来看，</w:t>
      </w:r>
      <w:r w:rsidR="00E32EA0" w:rsidRPr="0036036E">
        <w:rPr>
          <w:rFonts w:ascii="仿宋" w:eastAsia="仿宋" w:hAnsi="仿宋" w:hint="eastAsia"/>
          <w:sz w:val="30"/>
          <w:szCs w:val="30"/>
        </w:rPr>
        <w:t>本期民营企业利润增速为</w:t>
      </w:r>
      <w:r w:rsidR="00E32EA0" w:rsidRPr="0036036E">
        <w:rPr>
          <w:rFonts w:ascii="仿宋" w:eastAsia="仿宋" w:hAnsi="仿宋"/>
          <w:sz w:val="30"/>
          <w:szCs w:val="30"/>
        </w:rPr>
        <w:t>33.3%，较上半年提高0.3个百分点，</w:t>
      </w:r>
      <w:r w:rsidR="00330B36" w:rsidRPr="0036036E">
        <w:rPr>
          <w:rFonts w:ascii="仿宋" w:eastAsia="仿宋" w:hAnsi="仿宋" w:hint="eastAsia"/>
          <w:sz w:val="30"/>
          <w:szCs w:val="30"/>
        </w:rPr>
        <w:t>高于国有企业</w:t>
      </w:r>
      <w:r w:rsidR="00330B36" w:rsidRPr="0036036E">
        <w:rPr>
          <w:rFonts w:ascii="仿宋" w:eastAsia="仿宋" w:hAnsi="仿宋"/>
          <w:sz w:val="30"/>
          <w:szCs w:val="30"/>
        </w:rPr>
        <w:t>15.5个百分点</w:t>
      </w:r>
      <w:r w:rsidR="00051A49" w:rsidRPr="0036036E">
        <w:rPr>
          <w:rFonts w:ascii="仿宋" w:eastAsia="仿宋" w:hAnsi="仿宋" w:hint="eastAsia"/>
          <w:sz w:val="30"/>
          <w:szCs w:val="30"/>
        </w:rPr>
        <w:t>（见图</w:t>
      </w:r>
      <w:r w:rsidR="00051A49" w:rsidRPr="0036036E">
        <w:rPr>
          <w:rFonts w:ascii="仿宋" w:eastAsia="仿宋" w:hAnsi="仿宋"/>
          <w:sz w:val="30"/>
          <w:szCs w:val="30"/>
        </w:rPr>
        <w:t>7）</w:t>
      </w:r>
      <w:r w:rsidR="00330B36" w:rsidRPr="0036036E">
        <w:rPr>
          <w:rFonts w:ascii="仿宋" w:eastAsia="仿宋" w:hAnsi="仿宋" w:hint="eastAsia"/>
          <w:sz w:val="30"/>
          <w:szCs w:val="30"/>
        </w:rPr>
        <w:t>。</w:t>
      </w:r>
    </w:p>
    <w:p w14:paraId="7FB2BDBD" w14:textId="4C31AAB1" w:rsidR="003A46D4" w:rsidRDefault="005863B5" w:rsidP="005863B5">
      <w:pPr>
        <w:spacing w:beforeLines="100" w:before="312" w:line="360" w:lineRule="auto"/>
        <w:jc w:val="left"/>
        <w:rPr>
          <w:rFonts w:ascii="仿宋" w:eastAsia="仿宋" w:hAnsi="仿宋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C63FB52" wp14:editId="4DB36596">
                <wp:simplePos x="0" y="0"/>
                <wp:positionH relativeFrom="column">
                  <wp:posOffset>133350</wp:posOffset>
                </wp:positionH>
                <wp:positionV relativeFrom="paragraph">
                  <wp:posOffset>1892300</wp:posOffset>
                </wp:positionV>
                <wp:extent cx="5043805" cy="344170"/>
                <wp:effectExtent l="0" t="0" r="4445" b="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2C34B" w14:textId="49DD96CF" w:rsidR="00042610" w:rsidRDefault="00042610" w:rsidP="000426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1A1B">
                              <w:rPr>
                                <w:rFonts w:hint="eastAsia"/>
                                <w:b/>
                              </w:rPr>
                              <w:t>图</w:t>
                            </w:r>
                            <w:r w:rsidR="007E588E"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F5D38">
                              <w:rPr>
                                <w:rFonts w:hint="eastAsia"/>
                                <w:b/>
                              </w:rPr>
                              <w:t>战略性新兴产业上市公司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分属性利润增速</w:t>
                            </w:r>
                          </w:p>
                          <w:p w14:paraId="684AE5B1" w14:textId="77777777" w:rsidR="00042610" w:rsidRPr="00F11A1B" w:rsidRDefault="00042610" w:rsidP="00042610">
                            <w:pPr>
                              <w:rPr>
                                <w:b/>
                              </w:rPr>
                            </w:pPr>
                          </w:p>
                          <w:p w14:paraId="1C5AA227" w14:textId="77777777" w:rsidR="00042610" w:rsidRPr="005137A9" w:rsidRDefault="00042610" w:rsidP="000426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63FB52" id="文本框 18" o:spid="_x0000_s1032" type="#_x0000_t202" style="position:absolute;margin-left:10.5pt;margin-top:149pt;width:397.15pt;height:27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" stroked="f">
                <v:textbox>
                  <w:txbxContent>
                    <w:p w14:paraId="3C42C34B" w14:textId="49DD96CF" w:rsidR="00042610" w:rsidRDefault="00042610" w:rsidP="00042610">
                      <w:pPr>
                        <w:jc w:val="center"/>
                        <w:rPr>
                          <w:b/>
                        </w:rPr>
                      </w:pPr>
                      <w:r w:rsidRPr="00F11A1B">
                        <w:rPr>
                          <w:rFonts w:hint="eastAsia"/>
                          <w:b/>
                        </w:rPr>
                        <w:t>图</w:t>
                      </w:r>
                      <w:r w:rsidR="007E588E">
                        <w:rPr>
                          <w:b/>
                        </w:rPr>
                        <w:t>7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F5D38">
                        <w:rPr>
                          <w:rFonts w:hint="eastAsia"/>
                          <w:b/>
                        </w:rPr>
                        <w:t>战略性新兴产业上市公司</w:t>
                      </w:r>
                      <w:r>
                        <w:rPr>
                          <w:rFonts w:hint="eastAsia"/>
                          <w:b/>
                        </w:rPr>
                        <w:t>分属性利润增速</w:t>
                      </w:r>
                    </w:p>
                    <w:p w14:paraId="684AE5B1" w14:textId="77777777" w:rsidR="00042610" w:rsidRPr="00F11A1B" w:rsidRDefault="00042610" w:rsidP="00042610">
                      <w:pPr>
                        <w:rPr>
                          <w:b/>
                        </w:rPr>
                      </w:pPr>
                    </w:p>
                    <w:p w14:paraId="1C5AA227" w14:textId="77777777" w:rsidR="00042610" w:rsidRPr="005137A9" w:rsidRDefault="00042610" w:rsidP="0004261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66BB">
        <w:rPr>
          <w:noProof/>
        </w:rPr>
        <w:drawing>
          <wp:inline distT="0" distB="0" distL="0" distR="0" wp14:anchorId="4D5259C6" wp14:editId="2CA22DAA">
            <wp:extent cx="5543550" cy="1765935"/>
            <wp:effectExtent l="0" t="0" r="0" b="5715"/>
            <wp:docPr id="32" name="图表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CFB755" w14:textId="43486AB0" w:rsidR="00A44B78" w:rsidRDefault="00A44B78" w:rsidP="005D4D80">
      <w:pPr>
        <w:spacing w:beforeLines="100" w:before="312" w:line="360" w:lineRule="auto"/>
        <w:rPr>
          <w:rFonts w:ascii="仿宋" w:eastAsia="仿宋" w:hAnsi="仿宋"/>
          <w:b/>
          <w:sz w:val="30"/>
          <w:szCs w:val="30"/>
        </w:rPr>
      </w:pPr>
    </w:p>
    <w:p w14:paraId="4FA444E5" w14:textId="6FC36E2C" w:rsidR="005F7514" w:rsidRDefault="005F7514" w:rsidP="00970D77">
      <w:pPr>
        <w:spacing w:beforeLines="100" w:before="312"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</w:t>
      </w:r>
      <w:r w:rsidRPr="0020765F">
        <w:rPr>
          <w:rFonts w:ascii="仿宋" w:eastAsia="仿宋" w:hAnsi="仿宋" w:hint="eastAsia"/>
          <w:b/>
          <w:sz w:val="30"/>
          <w:szCs w:val="30"/>
        </w:rPr>
        <w:t>、战略性新兴产业上市公司</w:t>
      </w:r>
      <w:r>
        <w:rPr>
          <w:rFonts w:ascii="仿宋" w:eastAsia="仿宋" w:hAnsi="仿宋" w:hint="eastAsia"/>
          <w:b/>
          <w:sz w:val="30"/>
          <w:szCs w:val="30"/>
        </w:rPr>
        <w:t>发展特征</w:t>
      </w:r>
    </w:p>
    <w:p w14:paraId="20752455" w14:textId="290C0313" w:rsidR="005F7514" w:rsidRDefault="005F7514" w:rsidP="00970D77">
      <w:pPr>
        <w:spacing w:beforeLines="100" w:before="312"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（</w:t>
      </w:r>
      <w:r w:rsidR="007576BA">
        <w:rPr>
          <w:rFonts w:ascii="仿宋" w:eastAsia="仿宋" w:hAnsi="仿宋" w:hint="eastAsia"/>
          <w:b/>
          <w:sz w:val="30"/>
          <w:szCs w:val="30"/>
        </w:rPr>
        <w:t>一</w:t>
      </w:r>
      <w:r>
        <w:rPr>
          <w:rFonts w:ascii="仿宋" w:eastAsia="仿宋" w:hAnsi="仿宋" w:hint="eastAsia"/>
          <w:b/>
          <w:sz w:val="30"/>
          <w:szCs w:val="30"/>
        </w:rPr>
        <w:t>）股市直接融资</w:t>
      </w:r>
      <w:r w:rsidR="00946F6E">
        <w:rPr>
          <w:rFonts w:ascii="仿宋" w:eastAsia="仿宋" w:hAnsi="仿宋" w:hint="eastAsia"/>
          <w:b/>
          <w:sz w:val="30"/>
          <w:szCs w:val="30"/>
        </w:rPr>
        <w:t>小幅回落</w:t>
      </w:r>
    </w:p>
    <w:p w14:paraId="4531F01F" w14:textId="25E65E46" w:rsidR="00441861" w:rsidRDefault="001648B7" w:rsidP="00D36C39">
      <w:pPr>
        <w:spacing w:beforeLines="100" w:before="312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三季度，共有</w:t>
      </w:r>
      <w:r w:rsidR="00FD4C11">
        <w:rPr>
          <w:rFonts w:ascii="仿宋" w:eastAsia="仿宋" w:hAnsi="仿宋" w:hint="eastAsia"/>
          <w:sz w:val="30"/>
          <w:szCs w:val="30"/>
        </w:rPr>
        <w:t>21家战略性新兴产业企业在A股IPO上市，首发募资总额</w:t>
      </w:r>
      <w:r w:rsidR="00850783">
        <w:rPr>
          <w:rFonts w:ascii="仿宋" w:eastAsia="仿宋" w:hAnsi="仿宋" w:hint="eastAsia"/>
          <w:sz w:val="30"/>
          <w:szCs w:val="30"/>
        </w:rPr>
        <w:t>为</w:t>
      </w:r>
      <w:r w:rsidR="00FD4C11">
        <w:rPr>
          <w:rFonts w:ascii="仿宋" w:eastAsia="仿宋" w:hAnsi="仿宋" w:hint="eastAsia"/>
          <w:sz w:val="30"/>
          <w:szCs w:val="30"/>
        </w:rPr>
        <w:t>120.3亿元，占同期A股首发募资总额的</w:t>
      </w:r>
      <w:r w:rsidR="00AE7FCE">
        <w:rPr>
          <w:rFonts w:ascii="仿宋" w:eastAsia="仿宋" w:hAnsi="仿宋" w:hint="eastAsia"/>
          <w:sz w:val="30"/>
          <w:szCs w:val="30"/>
        </w:rPr>
        <w:t>24.8%。</w:t>
      </w:r>
      <w:r w:rsidR="00D36C39">
        <w:rPr>
          <w:rFonts w:ascii="仿宋" w:eastAsia="仿宋" w:hAnsi="仿宋" w:hint="eastAsia"/>
          <w:sz w:val="30"/>
          <w:szCs w:val="30"/>
        </w:rPr>
        <w:t>本期共有76家</w:t>
      </w:r>
      <w:r w:rsidR="009F60E8" w:rsidRPr="00EF2298">
        <w:rPr>
          <w:rFonts w:ascii="仿宋" w:eastAsia="仿宋" w:hAnsi="仿宋"/>
          <w:sz w:val="30"/>
          <w:szCs w:val="30"/>
        </w:rPr>
        <w:t>战略性新兴产业企业实施增发募资，</w:t>
      </w:r>
      <w:r w:rsidR="009F60E8" w:rsidRPr="008C0052">
        <w:rPr>
          <w:rFonts w:ascii="仿宋" w:eastAsia="仿宋" w:hAnsi="仿宋"/>
          <w:sz w:val="30"/>
          <w:szCs w:val="30"/>
        </w:rPr>
        <w:t>募资总额</w:t>
      </w:r>
      <w:r w:rsidR="00946F6E">
        <w:rPr>
          <w:rFonts w:ascii="仿宋" w:eastAsia="仿宋" w:hAnsi="仿宋" w:hint="eastAsia"/>
          <w:sz w:val="30"/>
          <w:szCs w:val="30"/>
        </w:rPr>
        <w:t>为</w:t>
      </w:r>
      <w:r w:rsidR="00D36C39">
        <w:rPr>
          <w:rFonts w:ascii="仿宋" w:eastAsia="仿宋" w:hAnsi="仿宋" w:hint="eastAsia"/>
          <w:sz w:val="30"/>
          <w:szCs w:val="30"/>
        </w:rPr>
        <w:t>1196</w:t>
      </w:r>
      <w:r w:rsidR="009F60E8" w:rsidRPr="008C0052">
        <w:rPr>
          <w:rFonts w:ascii="仿宋" w:eastAsia="仿宋" w:hAnsi="仿宋" w:hint="eastAsia"/>
          <w:sz w:val="30"/>
          <w:szCs w:val="30"/>
        </w:rPr>
        <w:t>亿元</w:t>
      </w:r>
      <w:r w:rsidR="00E72794">
        <w:rPr>
          <w:rFonts w:ascii="仿宋" w:eastAsia="仿宋" w:hAnsi="仿宋" w:hint="eastAsia"/>
          <w:sz w:val="30"/>
          <w:szCs w:val="30"/>
        </w:rPr>
        <w:t>，</w:t>
      </w:r>
      <w:r w:rsidR="00D36C39">
        <w:rPr>
          <w:rFonts w:ascii="仿宋" w:eastAsia="仿宋" w:hAnsi="仿宋" w:hint="eastAsia"/>
          <w:sz w:val="30"/>
          <w:szCs w:val="30"/>
        </w:rPr>
        <w:t>较</w:t>
      </w:r>
      <w:r w:rsidR="000D75D0" w:rsidRPr="00600F32">
        <w:rPr>
          <w:rFonts w:ascii="仿宋" w:eastAsia="仿宋" w:hAnsi="仿宋" w:hint="eastAsia"/>
          <w:sz w:val="30"/>
          <w:szCs w:val="30"/>
        </w:rPr>
        <w:t>二季度</w:t>
      </w:r>
      <w:r w:rsidR="00D36C39">
        <w:rPr>
          <w:rFonts w:ascii="仿宋" w:eastAsia="仿宋" w:hAnsi="仿宋" w:hint="eastAsia"/>
          <w:sz w:val="30"/>
          <w:szCs w:val="30"/>
        </w:rPr>
        <w:t>回落139.2亿元，但仍</w:t>
      </w:r>
      <w:r w:rsidR="00E72794">
        <w:rPr>
          <w:rFonts w:ascii="仿宋" w:eastAsia="仿宋" w:hAnsi="仿宋" w:hint="eastAsia"/>
          <w:sz w:val="30"/>
          <w:szCs w:val="30"/>
        </w:rPr>
        <w:t>是去年同期募资额的</w:t>
      </w:r>
      <w:r w:rsidR="00D36C39">
        <w:rPr>
          <w:rFonts w:ascii="仿宋" w:eastAsia="仿宋" w:hAnsi="仿宋" w:hint="eastAsia"/>
          <w:sz w:val="30"/>
          <w:szCs w:val="30"/>
        </w:rPr>
        <w:t>1.8</w:t>
      </w:r>
      <w:r w:rsidR="00E72794">
        <w:rPr>
          <w:rFonts w:ascii="仿宋" w:eastAsia="仿宋" w:hAnsi="仿宋" w:hint="eastAsia"/>
          <w:sz w:val="30"/>
          <w:szCs w:val="30"/>
        </w:rPr>
        <w:t>倍</w:t>
      </w:r>
      <w:r w:rsidR="009F60E8">
        <w:rPr>
          <w:rFonts w:ascii="仿宋" w:eastAsia="仿宋" w:hAnsi="仿宋" w:hint="eastAsia"/>
          <w:sz w:val="30"/>
          <w:szCs w:val="30"/>
        </w:rPr>
        <w:t>（见图</w:t>
      </w:r>
      <w:r w:rsidR="00D36C39">
        <w:rPr>
          <w:rFonts w:ascii="仿宋" w:eastAsia="仿宋" w:hAnsi="仿宋" w:hint="eastAsia"/>
          <w:sz w:val="30"/>
          <w:szCs w:val="30"/>
        </w:rPr>
        <w:t>8</w:t>
      </w:r>
      <w:r w:rsidR="009F60E8">
        <w:rPr>
          <w:rFonts w:ascii="仿宋" w:eastAsia="仿宋" w:hAnsi="仿宋" w:hint="eastAsia"/>
          <w:sz w:val="30"/>
          <w:szCs w:val="30"/>
        </w:rPr>
        <w:t>）。</w:t>
      </w:r>
    </w:p>
    <w:p w14:paraId="4F50C6EC" w14:textId="6B27CC2F" w:rsidR="00490747" w:rsidRPr="00490747" w:rsidRDefault="00490747" w:rsidP="00490747">
      <w:pPr>
        <w:spacing w:beforeLines="100" w:before="312" w:line="360" w:lineRule="auto"/>
        <w:rPr>
          <w:rFonts w:ascii="仿宋" w:eastAsia="仿宋" w:hAnsi="仿宋"/>
          <w:sz w:val="30"/>
          <w:szCs w:val="30"/>
        </w:rPr>
      </w:pPr>
    </w:p>
    <w:p w14:paraId="2C92D0C8" w14:textId="70D11212" w:rsidR="00693DF9" w:rsidRDefault="005863B5" w:rsidP="006F000C">
      <w:pPr>
        <w:spacing w:beforeLines="100" w:before="312" w:line="360" w:lineRule="auto"/>
        <w:ind w:leftChars="202" w:left="424"/>
        <w:rPr>
          <w:rFonts w:ascii="仿宋" w:eastAsia="仿宋" w:hAnsi="仿宋"/>
          <w:b/>
          <w:sz w:val="30"/>
          <w:szCs w:val="30"/>
        </w:rPr>
      </w:pPr>
      <w:r w:rsidRPr="007261EE">
        <w:rPr>
          <w:rFonts w:ascii="仿宋" w:eastAsia="仿宋" w:hAnsi="仿宋"/>
          <w:b/>
          <w:noProof/>
          <w:sz w:val="30"/>
          <w:szCs w:val="30"/>
        </w:rPr>
        <w:lastRenderedPageBreak/>
        <w:drawing>
          <wp:anchor distT="0" distB="0" distL="114300" distR="114300" simplePos="0" relativeHeight="251742208" behindDoc="0" locked="0" layoutInCell="1" allowOverlap="1" wp14:anchorId="56C92696" wp14:editId="36A45FFB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5670550" cy="1362075"/>
            <wp:effectExtent l="0" t="0" r="6350" b="0"/>
            <wp:wrapNone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9E4AE" w14:textId="77777777" w:rsidR="005863B5" w:rsidRDefault="005863B5" w:rsidP="006F000C">
      <w:pPr>
        <w:spacing w:beforeLines="100" w:before="312" w:line="360" w:lineRule="auto"/>
        <w:ind w:leftChars="202" w:left="424"/>
        <w:rPr>
          <w:rFonts w:ascii="仿宋" w:eastAsia="仿宋" w:hAnsi="仿宋"/>
          <w:b/>
          <w:sz w:val="30"/>
          <w:szCs w:val="30"/>
        </w:rPr>
      </w:pPr>
    </w:p>
    <w:p w14:paraId="17604307" w14:textId="50E18BCB" w:rsidR="00693DF9" w:rsidRDefault="00693DF9" w:rsidP="006F000C">
      <w:pPr>
        <w:spacing w:beforeLines="100" w:before="312" w:line="360" w:lineRule="auto"/>
        <w:ind w:leftChars="202" w:left="424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4267D8" wp14:editId="4B320310">
                <wp:simplePos x="0" y="0"/>
                <wp:positionH relativeFrom="margin">
                  <wp:posOffset>198755</wp:posOffset>
                </wp:positionH>
                <wp:positionV relativeFrom="paragraph">
                  <wp:posOffset>461010</wp:posOffset>
                </wp:positionV>
                <wp:extent cx="4660900" cy="303530"/>
                <wp:effectExtent l="0" t="0" r="6350" b="127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FE448" w14:textId="3D029242" w:rsidR="005F7514" w:rsidRPr="00290CC5" w:rsidRDefault="005F7514" w:rsidP="006F000C">
                            <w:pPr>
                              <w:ind w:rightChars="-415" w:right="-871"/>
                              <w:jc w:val="center"/>
                            </w:pPr>
                            <w:r w:rsidRPr="00290CC5">
                              <w:rPr>
                                <w:rFonts w:hint="eastAsia"/>
                                <w:b/>
                              </w:rPr>
                              <w:t>图</w:t>
                            </w:r>
                            <w:r w:rsidR="00D36C39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90CC5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战略性新兴产业上市公司增发募资额</w:t>
                            </w:r>
                            <w:r w:rsidR="002037E4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亿元</w:t>
                            </w:r>
                            <w:r w:rsidR="002037E4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4267D8" id="_x0000_s1033" type="#_x0000_t202" style="position:absolute;left:0;text-align:left;margin-left:15.65pt;margin-top:36.3pt;width:367pt;height:23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" stroked="f">
                <v:textbox>
                  <w:txbxContent>
                    <w:p w14:paraId="317FE448" w14:textId="3D029242" w:rsidR="005F7514" w:rsidRPr="00290CC5" w:rsidRDefault="005F7514" w:rsidP="006F000C">
                      <w:pPr>
                        <w:ind w:rightChars="-415" w:right="-871"/>
                        <w:jc w:val="center"/>
                      </w:pPr>
                      <w:r w:rsidRPr="00290CC5">
                        <w:rPr>
                          <w:rFonts w:hint="eastAsia"/>
                          <w:b/>
                        </w:rPr>
                        <w:t>图</w:t>
                      </w:r>
                      <w:r w:rsidR="00D36C39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90CC5"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战略性新兴产业上市公司增发募资额</w:t>
                      </w:r>
                      <w:r w:rsidR="002037E4">
                        <w:rPr>
                          <w:rFonts w:hint="eastAsia"/>
                          <w:b/>
                        </w:rPr>
                        <w:t>（</w:t>
                      </w:r>
                      <w:r>
                        <w:rPr>
                          <w:rFonts w:hint="eastAsia"/>
                          <w:b/>
                        </w:rPr>
                        <w:t>亿元</w:t>
                      </w:r>
                      <w:r w:rsidR="002037E4">
                        <w:rPr>
                          <w:rFonts w:hint="eastAsia"/>
                          <w:b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BCD1F" w14:textId="03BD5C47" w:rsidR="00693DF9" w:rsidRDefault="005863B5" w:rsidP="001D5102">
      <w:pPr>
        <w:spacing w:beforeLines="100" w:before="312"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98DA3E" wp14:editId="16C27486">
                <wp:simplePos x="0" y="0"/>
                <wp:positionH relativeFrom="margin">
                  <wp:posOffset>375920</wp:posOffset>
                </wp:positionH>
                <wp:positionV relativeFrom="paragraph">
                  <wp:posOffset>4800600</wp:posOffset>
                </wp:positionV>
                <wp:extent cx="4781550" cy="303530"/>
                <wp:effectExtent l="0" t="0" r="0" b="1270"/>
                <wp:wrapNone/>
                <wp:docPr id="37" name="文本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F362F" w14:textId="15A03773" w:rsidR="00CD2BF8" w:rsidRPr="00290CC5" w:rsidRDefault="00CD2BF8" w:rsidP="00D47434">
                            <w:pPr>
                              <w:ind w:leftChars="-270" w:left="-567" w:rightChars="-415" w:right="-871"/>
                              <w:jc w:val="center"/>
                            </w:pPr>
                            <w:r w:rsidRPr="00290CC5">
                              <w:rPr>
                                <w:rFonts w:hint="eastAsia"/>
                                <w:b/>
                              </w:rPr>
                              <w:t>图</w:t>
                            </w:r>
                            <w:r w:rsidR="00D36C39"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90CC5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257AD">
                              <w:rPr>
                                <w:rFonts w:hint="eastAsia"/>
                                <w:b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季度战略性新兴产业重点领域增发</w:t>
                            </w:r>
                            <w:r>
                              <w:rPr>
                                <w:b/>
                              </w:rPr>
                              <w:t>募资企业数及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增发募资额（亿元）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98DA3E" id="文本框 37" o:spid="_x0000_s1034" type="#_x0000_t202" style="position:absolute;left:0;text-align:left;margin-left:29.6pt;margin-top:378pt;width:376.5pt;height:23.9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" stroked="f">
                <v:textbox>
                  <w:txbxContent>
                    <w:p w14:paraId="17EF362F" w14:textId="15A03773" w:rsidR="00CD2BF8" w:rsidRPr="00290CC5" w:rsidRDefault="00CD2BF8" w:rsidP="00D47434">
                      <w:pPr>
                        <w:ind w:leftChars="-270" w:left="-567" w:rightChars="-415" w:right="-871"/>
                        <w:jc w:val="center"/>
                      </w:pPr>
                      <w:r w:rsidRPr="00290CC5">
                        <w:rPr>
                          <w:rFonts w:hint="eastAsia"/>
                          <w:b/>
                        </w:rPr>
                        <w:t>图</w:t>
                      </w:r>
                      <w:r w:rsidR="00D36C39"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90CC5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257AD">
                        <w:rPr>
                          <w:rFonts w:hint="eastAsia"/>
                          <w:b/>
                        </w:rPr>
                        <w:t>三</w:t>
                      </w:r>
                      <w:r>
                        <w:rPr>
                          <w:rFonts w:hint="eastAsia"/>
                          <w:b/>
                        </w:rPr>
                        <w:t>季度战略性新兴产业重点领域增发</w:t>
                      </w:r>
                      <w:r>
                        <w:rPr>
                          <w:b/>
                        </w:rPr>
                        <w:t>募资企业数及</w:t>
                      </w:r>
                      <w:r>
                        <w:rPr>
                          <w:rFonts w:hint="eastAsia"/>
                          <w:b/>
                        </w:rPr>
                        <w:t>增发募资额（亿元）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DF9">
        <w:rPr>
          <w:rFonts w:ascii="仿宋" w:eastAsia="仿宋" w:hAnsi="仿宋" w:hint="eastAsia"/>
          <w:sz w:val="30"/>
          <w:szCs w:val="30"/>
        </w:rPr>
        <w:t>从各重点领域来看，</w:t>
      </w:r>
      <w:r w:rsidR="006A3045">
        <w:rPr>
          <w:rFonts w:ascii="仿宋" w:eastAsia="仿宋" w:hAnsi="仿宋" w:hint="eastAsia"/>
          <w:sz w:val="30"/>
          <w:szCs w:val="30"/>
        </w:rPr>
        <w:t>三季度</w:t>
      </w:r>
      <w:r w:rsidR="00693DF9">
        <w:rPr>
          <w:rFonts w:ascii="仿宋" w:eastAsia="仿宋" w:hAnsi="仿宋" w:hint="eastAsia"/>
          <w:sz w:val="30"/>
          <w:szCs w:val="30"/>
        </w:rPr>
        <w:t>新一代信息技术领域共有2</w:t>
      </w:r>
      <w:r w:rsidR="00387EF5">
        <w:rPr>
          <w:rFonts w:ascii="仿宋" w:eastAsia="仿宋" w:hAnsi="仿宋" w:hint="eastAsia"/>
          <w:sz w:val="30"/>
          <w:szCs w:val="30"/>
        </w:rPr>
        <w:t>1</w:t>
      </w:r>
      <w:r w:rsidR="00693DF9">
        <w:rPr>
          <w:rFonts w:ascii="仿宋" w:eastAsia="仿宋" w:hAnsi="仿宋" w:hint="eastAsia"/>
          <w:sz w:val="30"/>
          <w:szCs w:val="30"/>
        </w:rPr>
        <w:t>家企业增发募资，募资总额为</w:t>
      </w:r>
      <w:r w:rsidR="00387EF5">
        <w:rPr>
          <w:rFonts w:ascii="仿宋" w:eastAsia="仿宋" w:hAnsi="仿宋" w:hint="eastAsia"/>
          <w:sz w:val="30"/>
          <w:szCs w:val="30"/>
        </w:rPr>
        <w:t>443.63</w:t>
      </w:r>
      <w:r w:rsidR="00693DF9">
        <w:rPr>
          <w:rFonts w:ascii="仿宋" w:eastAsia="仿宋" w:hAnsi="仿宋" w:hint="eastAsia"/>
          <w:sz w:val="30"/>
          <w:szCs w:val="30"/>
        </w:rPr>
        <w:t>亿元，占</w:t>
      </w:r>
      <w:r w:rsidR="00387EF5">
        <w:rPr>
          <w:rFonts w:ascii="仿宋" w:eastAsia="仿宋" w:hAnsi="仿宋" w:hint="eastAsia"/>
          <w:sz w:val="30"/>
          <w:szCs w:val="30"/>
        </w:rPr>
        <w:t>三</w:t>
      </w:r>
      <w:r w:rsidR="00693DF9">
        <w:rPr>
          <w:rFonts w:ascii="仿宋" w:eastAsia="仿宋" w:hAnsi="仿宋" w:hint="eastAsia"/>
          <w:sz w:val="30"/>
          <w:szCs w:val="30"/>
        </w:rPr>
        <w:t>季度战略性新兴产业上市公司增发募资总额的</w:t>
      </w:r>
      <w:r w:rsidR="00387EF5">
        <w:rPr>
          <w:rFonts w:ascii="仿宋" w:eastAsia="仿宋" w:hAnsi="仿宋" w:hint="eastAsia"/>
          <w:sz w:val="30"/>
          <w:szCs w:val="30"/>
        </w:rPr>
        <w:t>37.1</w:t>
      </w:r>
      <w:r w:rsidR="00693DF9">
        <w:rPr>
          <w:rFonts w:ascii="仿宋" w:eastAsia="仿宋" w:hAnsi="仿宋" w:hint="eastAsia"/>
          <w:sz w:val="30"/>
          <w:szCs w:val="30"/>
        </w:rPr>
        <w:t>%（见图9）。</w:t>
      </w:r>
      <w:r w:rsidR="008D7487">
        <w:rPr>
          <w:rFonts w:ascii="仿宋" w:eastAsia="仿宋" w:hAnsi="仿宋" w:hint="eastAsia"/>
          <w:sz w:val="30"/>
          <w:szCs w:val="30"/>
        </w:rPr>
        <w:t>本期</w:t>
      </w:r>
      <w:r w:rsidR="00DC65CE">
        <w:rPr>
          <w:rFonts w:ascii="仿宋" w:eastAsia="仿宋" w:hAnsi="仿宋" w:hint="eastAsia"/>
          <w:sz w:val="30"/>
          <w:szCs w:val="30"/>
        </w:rPr>
        <w:t>战略性新兴产业</w:t>
      </w:r>
      <w:r w:rsidR="008D7487">
        <w:rPr>
          <w:rFonts w:ascii="仿宋" w:eastAsia="仿宋" w:hAnsi="仿宋" w:hint="eastAsia"/>
          <w:sz w:val="30"/>
          <w:szCs w:val="30"/>
        </w:rPr>
        <w:t>增发募资额小幅回落主要受新一代信息技术、数字创意及节能环保三个产业影响，</w:t>
      </w:r>
      <w:r w:rsidR="00805D6B">
        <w:rPr>
          <w:rFonts w:ascii="仿宋" w:eastAsia="仿宋" w:hAnsi="仿宋" w:hint="eastAsia"/>
          <w:sz w:val="30"/>
          <w:szCs w:val="30"/>
        </w:rPr>
        <w:t>其增发募资额分别较上期减少28.4%、45.6%和43.9%。</w:t>
      </w:r>
      <w:r w:rsidR="001729D5">
        <w:rPr>
          <w:rFonts w:ascii="仿宋" w:eastAsia="仿宋" w:hAnsi="仿宋" w:hint="eastAsia"/>
          <w:sz w:val="30"/>
          <w:szCs w:val="30"/>
        </w:rPr>
        <w:t>值得一提的是，本期新能源产业共有7家企业在IPO上市，较上期增加5家企业，</w:t>
      </w:r>
      <w:r w:rsidR="00850783">
        <w:rPr>
          <w:rFonts w:ascii="仿宋" w:eastAsia="仿宋" w:hAnsi="仿宋" w:hint="eastAsia"/>
          <w:sz w:val="30"/>
          <w:szCs w:val="30"/>
        </w:rPr>
        <w:t>且</w:t>
      </w:r>
      <w:r w:rsidR="001729D5">
        <w:rPr>
          <w:rFonts w:ascii="仿宋" w:eastAsia="仿宋" w:hAnsi="仿宋" w:hint="eastAsia"/>
          <w:sz w:val="30"/>
          <w:szCs w:val="30"/>
        </w:rPr>
        <w:t>增发募资</w:t>
      </w:r>
      <w:r w:rsidR="00DC65CE">
        <w:rPr>
          <w:rFonts w:ascii="仿宋" w:eastAsia="仿宋" w:hAnsi="仿宋" w:hint="eastAsia"/>
          <w:sz w:val="30"/>
          <w:szCs w:val="30"/>
        </w:rPr>
        <w:t>总额为</w:t>
      </w:r>
      <w:r w:rsidR="001729D5">
        <w:rPr>
          <w:rFonts w:ascii="仿宋" w:eastAsia="仿宋" w:hAnsi="仿宋" w:hint="eastAsia"/>
          <w:sz w:val="30"/>
          <w:szCs w:val="30"/>
        </w:rPr>
        <w:t>上期的7倍。</w:t>
      </w:r>
      <w:r w:rsidR="001D5102">
        <w:rPr>
          <w:noProof/>
        </w:rPr>
        <w:drawing>
          <wp:inline distT="0" distB="0" distL="0" distR="0" wp14:anchorId="34F18897" wp14:editId="1B4E5251">
            <wp:extent cx="5648325" cy="18669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BE9D6D5" w14:textId="3D4531A8" w:rsidR="005F7514" w:rsidRDefault="005F7514" w:rsidP="00970D77">
      <w:pPr>
        <w:spacing w:beforeLines="100" w:before="312"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（</w:t>
      </w:r>
      <w:r w:rsidR="007576BA">
        <w:rPr>
          <w:rFonts w:ascii="仿宋" w:eastAsia="仿宋" w:hAnsi="仿宋" w:hint="eastAsia"/>
          <w:b/>
          <w:sz w:val="30"/>
          <w:szCs w:val="30"/>
        </w:rPr>
        <w:t>二</w:t>
      </w:r>
      <w:r>
        <w:rPr>
          <w:rFonts w:ascii="仿宋" w:eastAsia="仿宋" w:hAnsi="仿宋" w:hint="eastAsia"/>
          <w:b/>
          <w:sz w:val="30"/>
          <w:szCs w:val="30"/>
        </w:rPr>
        <w:t>）</w:t>
      </w:r>
      <w:r w:rsidR="00110174">
        <w:rPr>
          <w:rFonts w:ascii="仿宋" w:eastAsia="仿宋" w:hAnsi="仿宋" w:hint="eastAsia"/>
          <w:b/>
          <w:sz w:val="30"/>
          <w:szCs w:val="30"/>
        </w:rPr>
        <w:t>上市公司</w:t>
      </w:r>
      <w:r w:rsidRPr="00855021">
        <w:rPr>
          <w:rFonts w:ascii="仿宋" w:eastAsia="仿宋" w:hAnsi="仿宋" w:hint="eastAsia"/>
          <w:b/>
          <w:sz w:val="30"/>
          <w:szCs w:val="30"/>
        </w:rPr>
        <w:t>并购重组</w:t>
      </w:r>
      <w:r w:rsidR="00F353C1">
        <w:rPr>
          <w:rFonts w:ascii="仿宋" w:eastAsia="仿宋" w:hAnsi="仿宋" w:hint="eastAsia"/>
          <w:b/>
          <w:sz w:val="30"/>
          <w:szCs w:val="30"/>
        </w:rPr>
        <w:t>步伐</w:t>
      </w:r>
      <w:r w:rsidR="00154403">
        <w:rPr>
          <w:rFonts w:ascii="仿宋" w:eastAsia="仿宋" w:hAnsi="仿宋" w:hint="eastAsia"/>
          <w:b/>
          <w:sz w:val="30"/>
          <w:szCs w:val="30"/>
        </w:rPr>
        <w:t>继续</w:t>
      </w:r>
      <w:r w:rsidR="00F353C1">
        <w:rPr>
          <w:rFonts w:ascii="仿宋" w:eastAsia="仿宋" w:hAnsi="仿宋" w:hint="eastAsia"/>
          <w:b/>
          <w:sz w:val="30"/>
          <w:szCs w:val="30"/>
        </w:rPr>
        <w:t>放缓</w:t>
      </w:r>
    </w:p>
    <w:p w14:paraId="54C0E8F3" w14:textId="53053062" w:rsidR="0097564F" w:rsidRPr="00D714BE" w:rsidRDefault="002A58C1" w:rsidP="00D714BE">
      <w:pPr>
        <w:spacing w:beforeLines="100" w:before="312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B4363F">
        <w:rPr>
          <w:rFonts w:ascii="仿宋" w:eastAsia="仿宋" w:hAnsi="仿宋" w:hint="eastAsia"/>
          <w:sz w:val="30"/>
          <w:szCs w:val="30"/>
        </w:rPr>
        <w:t>三</w:t>
      </w:r>
      <w:r w:rsidR="005F7514" w:rsidRPr="00B4363F">
        <w:rPr>
          <w:rFonts w:ascii="仿宋" w:eastAsia="仿宋" w:hAnsi="仿宋" w:hint="eastAsia"/>
          <w:sz w:val="30"/>
          <w:szCs w:val="30"/>
        </w:rPr>
        <w:t>季度</w:t>
      </w:r>
      <w:r w:rsidR="005F7514" w:rsidRPr="007F7618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共有20</w:t>
      </w:r>
      <w:r w:rsidRPr="007F7618">
        <w:rPr>
          <w:rFonts w:ascii="仿宋" w:eastAsia="仿宋" w:hAnsi="仿宋" w:hint="eastAsia"/>
          <w:sz w:val="30"/>
          <w:szCs w:val="30"/>
        </w:rPr>
        <w:t>家</w:t>
      </w:r>
      <w:r w:rsidR="005F7514" w:rsidRPr="007F7618">
        <w:rPr>
          <w:rFonts w:ascii="仿宋" w:eastAsia="仿宋" w:hAnsi="仿宋" w:hint="eastAsia"/>
          <w:sz w:val="30"/>
          <w:szCs w:val="30"/>
        </w:rPr>
        <w:t>战略性新兴产业上市公司完成</w:t>
      </w:r>
      <w:r>
        <w:rPr>
          <w:rFonts w:ascii="仿宋" w:eastAsia="仿宋" w:hAnsi="仿宋"/>
          <w:sz w:val="30"/>
          <w:szCs w:val="30"/>
        </w:rPr>
        <w:t>重组</w:t>
      </w:r>
      <w:r w:rsidR="005F7514" w:rsidRPr="007F7618">
        <w:rPr>
          <w:rFonts w:ascii="仿宋" w:eastAsia="仿宋" w:hAnsi="仿宋" w:hint="eastAsia"/>
          <w:sz w:val="30"/>
          <w:szCs w:val="30"/>
        </w:rPr>
        <w:t>，占上市公司总数</w:t>
      </w:r>
      <w:r w:rsidR="005E00AA">
        <w:rPr>
          <w:rFonts w:ascii="仿宋" w:eastAsia="仿宋" w:hAnsi="仿宋" w:hint="eastAsia"/>
          <w:sz w:val="30"/>
          <w:szCs w:val="30"/>
        </w:rPr>
        <w:t>的</w:t>
      </w:r>
      <w:r w:rsidR="005F7514" w:rsidRPr="007F7618">
        <w:rPr>
          <w:rFonts w:ascii="仿宋" w:eastAsia="仿宋" w:hAnsi="仿宋"/>
          <w:sz w:val="30"/>
          <w:szCs w:val="30"/>
        </w:rPr>
        <w:t>4</w:t>
      </w:r>
      <w:r w:rsidR="0098236A">
        <w:rPr>
          <w:rFonts w:ascii="仿宋" w:eastAsia="仿宋" w:hAnsi="仿宋" w:hint="eastAsia"/>
          <w:sz w:val="30"/>
          <w:szCs w:val="30"/>
        </w:rPr>
        <w:t>0</w:t>
      </w:r>
      <w:r w:rsidR="005F7514" w:rsidRPr="007F7618">
        <w:rPr>
          <w:rFonts w:ascii="仿宋" w:eastAsia="仿宋" w:hAnsi="仿宋" w:hint="eastAsia"/>
          <w:sz w:val="30"/>
          <w:szCs w:val="30"/>
        </w:rPr>
        <w:t>%，</w:t>
      </w:r>
      <w:r w:rsidR="005E00AA">
        <w:rPr>
          <w:rFonts w:ascii="仿宋" w:eastAsia="仿宋" w:hAnsi="仿宋" w:hint="eastAsia"/>
          <w:sz w:val="30"/>
          <w:szCs w:val="30"/>
        </w:rPr>
        <w:t>重组</w:t>
      </w:r>
      <w:r w:rsidR="006E720B">
        <w:rPr>
          <w:rFonts w:ascii="仿宋" w:eastAsia="仿宋" w:hAnsi="仿宋" w:hint="eastAsia"/>
          <w:sz w:val="30"/>
          <w:szCs w:val="30"/>
        </w:rPr>
        <w:t>数量和占比均较</w:t>
      </w:r>
      <w:r w:rsidR="000D75D0" w:rsidRPr="00600F32">
        <w:rPr>
          <w:rFonts w:ascii="仿宋" w:eastAsia="仿宋" w:hAnsi="仿宋" w:hint="eastAsia"/>
          <w:sz w:val="30"/>
          <w:szCs w:val="30"/>
        </w:rPr>
        <w:t>二季度</w:t>
      </w:r>
      <w:r w:rsidR="005E00AA">
        <w:rPr>
          <w:rFonts w:ascii="仿宋" w:eastAsia="仿宋" w:hAnsi="仿宋" w:hint="eastAsia"/>
          <w:sz w:val="30"/>
          <w:szCs w:val="30"/>
        </w:rPr>
        <w:t>小幅</w:t>
      </w:r>
      <w:r w:rsidR="005F7514" w:rsidRPr="007F7618">
        <w:rPr>
          <w:rFonts w:ascii="仿宋" w:eastAsia="仿宋" w:hAnsi="仿宋"/>
          <w:sz w:val="30"/>
          <w:szCs w:val="30"/>
        </w:rPr>
        <w:t>回落</w:t>
      </w:r>
      <w:r w:rsidR="0064013F">
        <w:rPr>
          <w:rFonts w:ascii="仿宋" w:eastAsia="仿宋" w:hAnsi="仿宋" w:hint="eastAsia"/>
          <w:sz w:val="30"/>
          <w:szCs w:val="30"/>
        </w:rPr>
        <w:t>，上市公司并购重组步伐继续放缓</w:t>
      </w:r>
      <w:r w:rsidR="005F7514" w:rsidRPr="007F7618">
        <w:rPr>
          <w:rFonts w:ascii="仿宋" w:eastAsia="仿宋" w:hAnsi="仿宋" w:hint="eastAsia"/>
          <w:sz w:val="30"/>
          <w:szCs w:val="30"/>
        </w:rPr>
        <w:t>（见图1</w:t>
      </w:r>
      <w:r w:rsidR="00343AEA">
        <w:rPr>
          <w:rFonts w:ascii="仿宋" w:eastAsia="仿宋" w:hAnsi="仿宋" w:hint="eastAsia"/>
          <w:sz w:val="30"/>
          <w:szCs w:val="30"/>
        </w:rPr>
        <w:t>0</w:t>
      </w:r>
      <w:r w:rsidR="005F7514" w:rsidRPr="007F7618">
        <w:rPr>
          <w:rFonts w:ascii="仿宋" w:eastAsia="仿宋" w:hAnsi="仿宋" w:hint="eastAsia"/>
          <w:sz w:val="30"/>
          <w:szCs w:val="30"/>
        </w:rPr>
        <w:t>）。</w:t>
      </w:r>
      <w:r w:rsidR="0097564F">
        <w:rPr>
          <w:rFonts w:ascii="仿宋" w:eastAsia="仿宋" w:hAnsi="仿宋" w:hint="eastAsia"/>
          <w:sz w:val="30"/>
          <w:szCs w:val="30"/>
        </w:rPr>
        <w:t>分领域来看，</w:t>
      </w:r>
      <w:r w:rsidR="00105094">
        <w:rPr>
          <w:rFonts w:ascii="仿宋" w:eastAsia="仿宋" w:hAnsi="仿宋" w:hint="eastAsia"/>
          <w:sz w:val="30"/>
          <w:szCs w:val="30"/>
        </w:rPr>
        <w:t>本期</w:t>
      </w:r>
      <w:r w:rsidR="00E455A0">
        <w:rPr>
          <w:rFonts w:ascii="仿宋" w:eastAsia="仿宋" w:hAnsi="仿宋" w:hint="eastAsia"/>
          <w:sz w:val="30"/>
          <w:szCs w:val="30"/>
        </w:rPr>
        <w:t>生物产业是重组活动最为活跃的领域，</w:t>
      </w:r>
      <w:r w:rsidR="0097564F">
        <w:rPr>
          <w:rFonts w:ascii="仿宋" w:eastAsia="仿宋" w:hAnsi="仿宋" w:hint="eastAsia"/>
          <w:sz w:val="30"/>
          <w:szCs w:val="30"/>
        </w:rPr>
        <w:t>共有</w:t>
      </w:r>
      <w:r w:rsidR="00E455A0">
        <w:rPr>
          <w:rFonts w:ascii="仿宋" w:eastAsia="仿宋" w:hAnsi="仿宋" w:hint="eastAsia"/>
          <w:sz w:val="30"/>
          <w:szCs w:val="30"/>
        </w:rPr>
        <w:t>5</w:t>
      </w:r>
      <w:r w:rsidR="0097564F">
        <w:rPr>
          <w:rFonts w:ascii="仿宋" w:eastAsia="仿宋" w:hAnsi="仿宋" w:hint="eastAsia"/>
          <w:sz w:val="30"/>
          <w:szCs w:val="30"/>
        </w:rPr>
        <w:t>家企业完成重组。例如，</w:t>
      </w:r>
      <w:r w:rsidR="006F48FB" w:rsidRPr="006F48FB">
        <w:rPr>
          <w:rFonts w:ascii="仿宋" w:eastAsia="仿宋" w:hAnsi="仿宋" w:hint="eastAsia"/>
          <w:b/>
          <w:sz w:val="30"/>
          <w:szCs w:val="30"/>
        </w:rPr>
        <w:t>振东制药</w:t>
      </w:r>
      <w:r w:rsidR="006F48FB">
        <w:rPr>
          <w:rFonts w:ascii="仿宋" w:eastAsia="仿宋" w:hAnsi="仿宋" w:hint="eastAsia"/>
          <w:sz w:val="30"/>
          <w:szCs w:val="30"/>
        </w:rPr>
        <w:t>通过</w:t>
      </w:r>
      <w:r w:rsidR="006F48FB" w:rsidRPr="006F48FB">
        <w:rPr>
          <w:rFonts w:ascii="仿宋" w:eastAsia="仿宋" w:hAnsi="仿宋" w:hint="eastAsia"/>
          <w:sz w:val="30"/>
          <w:szCs w:val="30"/>
        </w:rPr>
        <w:lastRenderedPageBreak/>
        <w:t>发行股份购买资产</w:t>
      </w:r>
      <w:r w:rsidR="006F48FB">
        <w:rPr>
          <w:rFonts w:ascii="仿宋" w:eastAsia="仿宋" w:hAnsi="仿宋" w:hint="eastAsia"/>
          <w:sz w:val="30"/>
          <w:szCs w:val="30"/>
        </w:rPr>
        <w:t>的方式，横向整合</w:t>
      </w:r>
      <w:r w:rsidR="006F48FB" w:rsidRPr="006F48FB">
        <w:rPr>
          <w:rFonts w:ascii="仿宋" w:eastAsia="仿宋" w:hAnsi="仿宋" w:hint="eastAsia"/>
          <w:sz w:val="30"/>
          <w:szCs w:val="30"/>
        </w:rPr>
        <w:t>康远制药100%股权</w:t>
      </w:r>
      <w:r w:rsidR="006F48FB">
        <w:rPr>
          <w:rFonts w:ascii="仿宋" w:eastAsia="仿宋" w:hAnsi="仿宋" w:hint="eastAsia"/>
          <w:sz w:val="30"/>
          <w:szCs w:val="30"/>
        </w:rPr>
        <w:t>，总交易金额约为26.5亿元。</w:t>
      </w:r>
      <w:r w:rsidR="005131BB">
        <w:rPr>
          <w:rFonts w:ascii="仿宋" w:eastAsia="仿宋" w:hAnsi="仿宋" w:hint="eastAsia"/>
          <w:sz w:val="30"/>
          <w:szCs w:val="30"/>
        </w:rPr>
        <w:t>通过此次收购，</w:t>
      </w:r>
      <w:r w:rsidR="00741330" w:rsidRPr="00741330">
        <w:rPr>
          <w:rFonts w:ascii="仿宋" w:eastAsia="仿宋" w:hAnsi="仿宋"/>
          <w:sz w:val="30"/>
          <w:szCs w:val="30"/>
        </w:rPr>
        <w:t>极大丰富</w:t>
      </w:r>
      <w:r w:rsidR="00741330">
        <w:rPr>
          <w:rFonts w:ascii="仿宋" w:eastAsia="仿宋" w:hAnsi="仿宋" w:hint="eastAsia"/>
          <w:sz w:val="30"/>
          <w:szCs w:val="30"/>
        </w:rPr>
        <w:t>了振东制药</w:t>
      </w:r>
      <w:r w:rsidR="00741330">
        <w:rPr>
          <w:rFonts w:ascii="仿宋" w:eastAsia="仿宋" w:hAnsi="仿宋"/>
          <w:sz w:val="30"/>
          <w:szCs w:val="30"/>
        </w:rPr>
        <w:t>产品线</w:t>
      </w:r>
      <w:r w:rsidR="00741330" w:rsidRPr="00741330">
        <w:rPr>
          <w:rFonts w:ascii="仿宋" w:eastAsia="仿宋" w:hAnsi="仿宋"/>
          <w:sz w:val="30"/>
          <w:szCs w:val="30"/>
        </w:rPr>
        <w:t>，</w:t>
      </w:r>
      <w:hyperlink r:id="rId17" w:tgtFrame="_blank" w:history="1">
        <w:r w:rsidR="00741330" w:rsidRPr="00741330">
          <w:rPr>
            <w:rFonts w:ascii="仿宋" w:eastAsia="仿宋" w:hAnsi="仿宋"/>
            <w:sz w:val="30"/>
            <w:szCs w:val="30"/>
          </w:rPr>
          <w:t>营销</w:t>
        </w:r>
      </w:hyperlink>
      <w:r w:rsidR="00741330">
        <w:rPr>
          <w:rFonts w:ascii="仿宋" w:eastAsia="仿宋" w:hAnsi="仿宋"/>
          <w:sz w:val="30"/>
          <w:szCs w:val="30"/>
        </w:rPr>
        <w:t>渠道</w:t>
      </w:r>
      <w:r w:rsidR="00741330">
        <w:rPr>
          <w:rFonts w:ascii="仿宋" w:eastAsia="仿宋" w:hAnsi="仿宋" w:hint="eastAsia"/>
          <w:sz w:val="30"/>
          <w:szCs w:val="30"/>
        </w:rPr>
        <w:t>得到</w:t>
      </w:r>
      <w:r w:rsidR="00741330">
        <w:rPr>
          <w:rFonts w:ascii="仿宋" w:eastAsia="仿宋" w:hAnsi="仿宋"/>
          <w:sz w:val="30"/>
          <w:szCs w:val="30"/>
        </w:rPr>
        <w:t>有效整合，</w:t>
      </w:r>
      <w:r w:rsidR="005C39F0">
        <w:rPr>
          <w:rFonts w:ascii="仿宋" w:eastAsia="仿宋" w:hAnsi="仿宋" w:hint="eastAsia"/>
          <w:sz w:val="30"/>
          <w:szCs w:val="30"/>
        </w:rPr>
        <w:t>有助于</w:t>
      </w:r>
      <w:r w:rsidR="00741330" w:rsidRPr="00741330">
        <w:rPr>
          <w:rFonts w:ascii="仿宋" w:eastAsia="仿宋" w:hAnsi="仿宋"/>
          <w:sz w:val="30"/>
          <w:szCs w:val="30"/>
        </w:rPr>
        <w:t>提升振东制药的盈利能力和抗风险能力。</w:t>
      </w:r>
      <w:r w:rsidR="00D168CF">
        <w:rPr>
          <w:rFonts w:ascii="仿宋" w:eastAsia="仿宋" w:hAnsi="仿宋" w:hint="eastAsia"/>
          <w:sz w:val="30"/>
          <w:szCs w:val="30"/>
        </w:rPr>
        <w:t>此外，</w:t>
      </w:r>
      <w:r w:rsidR="0045287E">
        <w:rPr>
          <w:rFonts w:ascii="仿宋" w:eastAsia="仿宋" w:hAnsi="仿宋" w:hint="eastAsia"/>
          <w:sz w:val="30"/>
          <w:szCs w:val="30"/>
        </w:rPr>
        <w:t>数字创意</w:t>
      </w:r>
      <w:proofErr w:type="gramStart"/>
      <w:r w:rsidR="0045287E">
        <w:rPr>
          <w:rFonts w:ascii="仿宋" w:eastAsia="仿宋" w:hAnsi="仿宋" w:hint="eastAsia"/>
          <w:sz w:val="30"/>
          <w:szCs w:val="30"/>
        </w:rPr>
        <w:t>领域</w:t>
      </w:r>
      <w:r w:rsidR="00BC0F11" w:rsidRPr="00FE539E">
        <w:rPr>
          <w:rFonts w:ascii="仿宋" w:eastAsia="仿宋" w:hAnsi="仿宋" w:hint="eastAsia"/>
          <w:b/>
          <w:sz w:val="30"/>
          <w:szCs w:val="30"/>
        </w:rPr>
        <w:t>帝龙文化</w:t>
      </w:r>
      <w:proofErr w:type="gramEnd"/>
      <w:r w:rsidR="00BC0F11">
        <w:rPr>
          <w:rFonts w:ascii="仿宋" w:eastAsia="仿宋" w:hAnsi="仿宋" w:hint="eastAsia"/>
          <w:sz w:val="30"/>
          <w:szCs w:val="30"/>
        </w:rPr>
        <w:t>通过</w:t>
      </w:r>
      <w:r w:rsidR="00BC0F11" w:rsidRPr="00BC0F11">
        <w:rPr>
          <w:rFonts w:ascii="仿宋" w:eastAsia="仿宋" w:hAnsi="仿宋" w:hint="eastAsia"/>
          <w:sz w:val="30"/>
          <w:szCs w:val="30"/>
        </w:rPr>
        <w:t>发行股份购买资产</w:t>
      </w:r>
      <w:r w:rsidR="00BC0F11">
        <w:rPr>
          <w:rFonts w:ascii="仿宋" w:eastAsia="仿宋" w:hAnsi="仿宋" w:hint="eastAsia"/>
          <w:sz w:val="30"/>
          <w:szCs w:val="30"/>
        </w:rPr>
        <w:t>收购</w:t>
      </w:r>
      <w:proofErr w:type="gramStart"/>
      <w:r w:rsidR="00BC0F11" w:rsidRPr="00BC0F11">
        <w:rPr>
          <w:rFonts w:ascii="仿宋" w:eastAsia="仿宋" w:hAnsi="仿宋" w:hint="eastAsia"/>
          <w:sz w:val="30"/>
          <w:szCs w:val="30"/>
        </w:rPr>
        <w:t>美生元</w:t>
      </w:r>
      <w:proofErr w:type="gramEnd"/>
      <w:r w:rsidR="00BC0F11" w:rsidRPr="00BC0F11">
        <w:rPr>
          <w:rFonts w:ascii="仿宋" w:eastAsia="仿宋" w:hAnsi="仿宋" w:hint="eastAsia"/>
          <w:sz w:val="30"/>
          <w:szCs w:val="30"/>
        </w:rPr>
        <w:t>100%股权</w:t>
      </w:r>
      <w:r w:rsidR="00BC0F11">
        <w:rPr>
          <w:rFonts w:ascii="仿宋" w:eastAsia="仿宋" w:hAnsi="仿宋" w:hint="eastAsia"/>
          <w:sz w:val="30"/>
          <w:szCs w:val="30"/>
        </w:rPr>
        <w:t>，交易金额达到34亿元，为本期最高交易</w:t>
      </w:r>
      <w:r w:rsidR="00353343">
        <w:rPr>
          <w:rFonts w:ascii="仿宋" w:eastAsia="仿宋" w:hAnsi="仿宋" w:hint="eastAsia"/>
          <w:sz w:val="30"/>
          <w:szCs w:val="30"/>
        </w:rPr>
        <w:t>额</w:t>
      </w:r>
      <w:r w:rsidR="00BC0F11">
        <w:rPr>
          <w:rFonts w:ascii="仿宋" w:eastAsia="仿宋" w:hAnsi="仿宋" w:hint="eastAsia"/>
          <w:sz w:val="30"/>
          <w:szCs w:val="30"/>
        </w:rPr>
        <w:t>。</w:t>
      </w:r>
      <w:proofErr w:type="gramStart"/>
      <w:r w:rsidR="00FE539E">
        <w:rPr>
          <w:rFonts w:ascii="仿宋" w:eastAsia="仿宋" w:hAnsi="仿宋" w:hint="eastAsia"/>
          <w:sz w:val="30"/>
          <w:szCs w:val="30"/>
        </w:rPr>
        <w:t>帝龙文化</w:t>
      </w:r>
      <w:proofErr w:type="gramEnd"/>
      <w:r w:rsidR="00FE539E">
        <w:rPr>
          <w:rFonts w:ascii="仿宋" w:eastAsia="仿宋" w:hAnsi="仿宋" w:hint="eastAsia"/>
          <w:sz w:val="30"/>
          <w:szCs w:val="30"/>
        </w:rPr>
        <w:t>实行</w:t>
      </w:r>
      <w:r w:rsidR="00FE539E" w:rsidRPr="00BC0F11">
        <w:rPr>
          <w:rFonts w:ascii="仿宋" w:eastAsia="仿宋" w:hAnsi="仿宋" w:hint="eastAsia"/>
          <w:sz w:val="30"/>
          <w:szCs w:val="30"/>
        </w:rPr>
        <w:t>多元化战略</w:t>
      </w:r>
      <w:r w:rsidR="00FE539E">
        <w:rPr>
          <w:rFonts w:ascii="仿宋" w:eastAsia="仿宋" w:hAnsi="仿宋" w:hint="eastAsia"/>
          <w:sz w:val="30"/>
          <w:szCs w:val="30"/>
        </w:rPr>
        <w:t>，</w:t>
      </w:r>
      <w:r w:rsidR="00595B43">
        <w:rPr>
          <w:rFonts w:ascii="仿宋" w:eastAsia="仿宋" w:hAnsi="仿宋" w:hint="eastAsia"/>
          <w:sz w:val="30"/>
          <w:szCs w:val="30"/>
        </w:rPr>
        <w:t>此次收购</w:t>
      </w:r>
      <w:r w:rsidR="00353343">
        <w:rPr>
          <w:rFonts w:ascii="仿宋" w:eastAsia="仿宋" w:hAnsi="仿宋" w:hint="eastAsia"/>
          <w:sz w:val="30"/>
          <w:szCs w:val="30"/>
        </w:rPr>
        <w:t>使其</w:t>
      </w:r>
      <w:r w:rsidR="00FE539E" w:rsidRPr="00FE539E">
        <w:rPr>
          <w:rFonts w:ascii="仿宋" w:eastAsia="仿宋" w:hAnsi="仿宋"/>
          <w:sz w:val="30"/>
          <w:szCs w:val="30"/>
        </w:rPr>
        <w:t>在资源配置方面向数字娱乐文化产业重点倾</w:t>
      </w:r>
      <w:r w:rsidR="005863B5">
        <w:rPr>
          <w:rFonts w:ascii="仿宋" w:eastAsia="仿宋" w:hAnsi="仿宋"/>
          <w:b/>
          <w:noProof/>
          <w:sz w:val="30"/>
          <w:szCs w:val="30"/>
        </w:rPr>
        <w:drawing>
          <wp:anchor distT="0" distB="0" distL="114300" distR="114300" simplePos="0" relativeHeight="251729920" behindDoc="0" locked="0" layoutInCell="1" allowOverlap="1" wp14:anchorId="2F7824CB" wp14:editId="30BF0E6E">
            <wp:simplePos x="0" y="0"/>
            <wp:positionH relativeFrom="column">
              <wp:posOffset>-43180</wp:posOffset>
            </wp:positionH>
            <wp:positionV relativeFrom="paragraph">
              <wp:posOffset>2590800</wp:posOffset>
            </wp:positionV>
            <wp:extent cx="5686425" cy="1885950"/>
            <wp:effectExtent l="0" t="0" r="0" b="0"/>
            <wp:wrapNone/>
            <wp:docPr id="20" name="图表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39E" w:rsidRPr="00FE539E">
        <w:rPr>
          <w:rFonts w:ascii="仿宋" w:eastAsia="仿宋" w:hAnsi="仿宋"/>
          <w:sz w:val="30"/>
          <w:szCs w:val="30"/>
        </w:rPr>
        <w:t>斜，</w:t>
      </w:r>
      <w:r w:rsidR="00D714BE">
        <w:rPr>
          <w:rFonts w:ascii="仿宋" w:eastAsia="仿宋" w:hAnsi="仿宋"/>
          <w:sz w:val="30"/>
          <w:szCs w:val="30"/>
        </w:rPr>
        <w:t>实现公司业务向泛娱乐文化转型的战略目标</w:t>
      </w:r>
      <w:r w:rsidR="00D714BE">
        <w:rPr>
          <w:rFonts w:ascii="仿宋" w:eastAsia="仿宋" w:hAnsi="仿宋" w:hint="eastAsia"/>
          <w:sz w:val="30"/>
          <w:szCs w:val="30"/>
        </w:rPr>
        <w:t>。</w:t>
      </w:r>
    </w:p>
    <w:p w14:paraId="07B5939D" w14:textId="6BD7A3A1" w:rsidR="005F7514" w:rsidRPr="00406BE9" w:rsidRDefault="005F7514" w:rsidP="005F7514">
      <w:pPr>
        <w:spacing w:beforeLines="100" w:before="312" w:line="360" w:lineRule="auto"/>
        <w:ind w:firstLineChars="200" w:firstLine="600"/>
        <w:rPr>
          <w:rFonts w:ascii="仿宋" w:eastAsia="仿宋" w:hAnsi="仿宋"/>
          <w:color w:val="FF0000"/>
          <w:sz w:val="30"/>
          <w:szCs w:val="30"/>
        </w:rPr>
      </w:pPr>
    </w:p>
    <w:p w14:paraId="00B9BC78" w14:textId="5CE760CD" w:rsidR="00066CFC" w:rsidRDefault="00066CFC" w:rsidP="006F000C">
      <w:pPr>
        <w:spacing w:beforeLines="100" w:before="312"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14:paraId="4BAD2626" w14:textId="2AC1EDDB" w:rsidR="00F257AD" w:rsidRDefault="00E02A98" w:rsidP="005F7514">
      <w:pPr>
        <w:spacing w:beforeLines="100" w:before="312" w:line="360" w:lineRule="auto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CFB6A0" wp14:editId="7F82EF67">
                <wp:simplePos x="0" y="0"/>
                <wp:positionH relativeFrom="column">
                  <wp:posOffset>471170</wp:posOffset>
                </wp:positionH>
                <wp:positionV relativeFrom="paragraph">
                  <wp:posOffset>518795</wp:posOffset>
                </wp:positionV>
                <wp:extent cx="4569460" cy="302895"/>
                <wp:effectExtent l="0" t="0" r="2540" b="1905"/>
                <wp:wrapNone/>
                <wp:docPr id="24" name="文本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946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CDB9F" w14:textId="5BC61585" w:rsidR="005F7514" w:rsidRPr="00290CC5" w:rsidRDefault="005F7514" w:rsidP="005F75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图</w:t>
                            </w:r>
                            <w:r w:rsidR="008C7AD9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343AEA">
                              <w:rPr>
                                <w:b/>
                              </w:rPr>
                              <w:t>0</w:t>
                            </w:r>
                            <w:r w:rsidR="008C7AD9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8C7AD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战略性新兴产业上市公司完成重组数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CFB6A0" id="文本框 24" o:spid="_x0000_s1035" type="#_x0000_t202" style="position:absolute;left:0;text-align:left;margin-left:37.1pt;margin-top:40.85pt;width:359.8pt;height:2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" stroked="f">
                <v:textbox>
                  <w:txbxContent>
                    <w:p w14:paraId="579CDB9F" w14:textId="5BC61585" w:rsidR="005F7514" w:rsidRPr="00290CC5" w:rsidRDefault="005F7514" w:rsidP="005F7514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</w:rPr>
                        <w:t>图</w:t>
                      </w:r>
                      <w:r w:rsidR="008C7AD9">
                        <w:rPr>
                          <w:rFonts w:hint="eastAsia"/>
                          <w:b/>
                        </w:rPr>
                        <w:t>1</w:t>
                      </w:r>
                      <w:r w:rsidR="00343AEA">
                        <w:rPr>
                          <w:b/>
                        </w:rPr>
                        <w:t>0</w:t>
                      </w:r>
                      <w:r w:rsidR="008C7AD9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8C7AD9">
                        <w:rPr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战略性新兴产业上市公司完成重组数</w:t>
                      </w:r>
                    </w:p>
                  </w:txbxContent>
                </v:textbox>
              </v:shape>
            </w:pict>
          </mc:Fallback>
        </mc:AlternateContent>
      </w:r>
    </w:p>
    <w:p w14:paraId="707FE616" w14:textId="1D623871" w:rsidR="005F7514" w:rsidRDefault="001C636A" w:rsidP="00970D77">
      <w:pPr>
        <w:spacing w:beforeLines="100" w:before="312"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（</w:t>
      </w:r>
      <w:r w:rsidR="007576BA">
        <w:rPr>
          <w:rFonts w:ascii="仿宋" w:eastAsia="仿宋" w:hAnsi="仿宋" w:hint="eastAsia"/>
          <w:b/>
          <w:sz w:val="30"/>
          <w:szCs w:val="30"/>
        </w:rPr>
        <w:t>三</w:t>
      </w:r>
      <w:r>
        <w:rPr>
          <w:rFonts w:ascii="仿宋" w:eastAsia="仿宋" w:hAnsi="仿宋" w:hint="eastAsia"/>
          <w:b/>
          <w:sz w:val="30"/>
          <w:szCs w:val="30"/>
        </w:rPr>
        <w:t>）企业规模</w:t>
      </w:r>
      <w:r w:rsidR="007D4254">
        <w:rPr>
          <w:rFonts w:ascii="仿宋" w:eastAsia="仿宋" w:hAnsi="仿宋" w:hint="eastAsia"/>
          <w:b/>
          <w:sz w:val="30"/>
          <w:szCs w:val="30"/>
        </w:rPr>
        <w:t>平稳</w:t>
      </w:r>
      <w:r w:rsidR="00943586">
        <w:rPr>
          <w:rFonts w:ascii="仿宋" w:eastAsia="仿宋" w:hAnsi="仿宋" w:hint="eastAsia"/>
          <w:b/>
          <w:sz w:val="30"/>
          <w:szCs w:val="30"/>
        </w:rPr>
        <w:t>扩张</w:t>
      </w:r>
      <w:r w:rsidR="005F7514">
        <w:rPr>
          <w:rFonts w:ascii="仿宋" w:eastAsia="仿宋" w:hAnsi="仿宋" w:hint="eastAsia"/>
          <w:b/>
          <w:sz w:val="30"/>
          <w:szCs w:val="30"/>
        </w:rPr>
        <w:t>，投资</w:t>
      </w:r>
      <w:r w:rsidR="002E470E">
        <w:rPr>
          <w:rFonts w:ascii="仿宋" w:eastAsia="仿宋" w:hAnsi="仿宋" w:hint="eastAsia"/>
          <w:b/>
          <w:sz w:val="30"/>
          <w:szCs w:val="30"/>
        </w:rPr>
        <w:t>热度</w:t>
      </w:r>
      <w:r w:rsidR="007D4254">
        <w:rPr>
          <w:rFonts w:ascii="仿宋" w:eastAsia="仿宋" w:hAnsi="仿宋" w:hint="eastAsia"/>
          <w:b/>
          <w:sz w:val="30"/>
          <w:szCs w:val="30"/>
        </w:rPr>
        <w:t>小幅回升</w:t>
      </w:r>
    </w:p>
    <w:p w14:paraId="75AAD76C" w14:textId="3908378C" w:rsidR="005F7514" w:rsidRDefault="0054323F" w:rsidP="005F751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</w:t>
      </w:r>
      <w:r w:rsidR="005F7514" w:rsidRPr="002B1DB1">
        <w:rPr>
          <w:rFonts w:ascii="仿宋" w:eastAsia="仿宋" w:hAnsi="仿宋" w:hint="eastAsia"/>
          <w:sz w:val="30"/>
          <w:szCs w:val="30"/>
        </w:rPr>
        <w:t>季度，战略性新兴产业上市公司规模</w:t>
      </w:r>
      <w:r w:rsidR="005F7514">
        <w:rPr>
          <w:rFonts w:ascii="仿宋" w:eastAsia="仿宋" w:hAnsi="仿宋" w:hint="eastAsia"/>
          <w:sz w:val="30"/>
          <w:szCs w:val="30"/>
        </w:rPr>
        <w:t>持续</w:t>
      </w:r>
      <w:r w:rsidR="00B33626">
        <w:rPr>
          <w:rFonts w:ascii="仿宋" w:eastAsia="仿宋" w:hAnsi="仿宋" w:hint="eastAsia"/>
          <w:sz w:val="30"/>
          <w:szCs w:val="30"/>
        </w:rPr>
        <w:t>扩大</w:t>
      </w:r>
      <w:r w:rsidR="005F7514" w:rsidRPr="002B1DB1">
        <w:rPr>
          <w:rFonts w:ascii="仿宋" w:eastAsia="仿宋" w:hAnsi="仿宋" w:hint="eastAsia"/>
          <w:sz w:val="30"/>
          <w:szCs w:val="30"/>
        </w:rPr>
        <w:t>，</w:t>
      </w:r>
      <w:r w:rsidR="00B33626">
        <w:rPr>
          <w:rFonts w:ascii="仿宋" w:eastAsia="仿宋" w:hAnsi="仿宋" w:hint="eastAsia"/>
          <w:sz w:val="30"/>
          <w:szCs w:val="30"/>
        </w:rPr>
        <w:t>资产总额</w:t>
      </w:r>
      <w:r w:rsidR="005F7514" w:rsidRPr="0030722E">
        <w:rPr>
          <w:rFonts w:ascii="仿宋" w:eastAsia="仿宋" w:hAnsi="仿宋" w:hint="eastAsia"/>
          <w:sz w:val="30"/>
          <w:szCs w:val="30"/>
        </w:rPr>
        <w:t>达</w:t>
      </w:r>
      <w:r>
        <w:rPr>
          <w:rFonts w:ascii="仿宋" w:eastAsia="仿宋" w:hAnsi="仿宋" w:hint="eastAsia"/>
          <w:sz w:val="30"/>
          <w:szCs w:val="30"/>
        </w:rPr>
        <w:t>8.4</w:t>
      </w:r>
      <w:proofErr w:type="gramStart"/>
      <w:r w:rsidR="005F7514" w:rsidRPr="0030722E">
        <w:rPr>
          <w:rFonts w:ascii="仿宋" w:eastAsia="仿宋" w:hAnsi="仿宋" w:hint="eastAsia"/>
          <w:sz w:val="30"/>
          <w:szCs w:val="30"/>
        </w:rPr>
        <w:t>万亿</w:t>
      </w:r>
      <w:proofErr w:type="gramEnd"/>
      <w:r w:rsidR="005F7514" w:rsidRPr="0030722E">
        <w:rPr>
          <w:rFonts w:ascii="仿宋" w:eastAsia="仿宋" w:hAnsi="仿宋" w:hint="eastAsia"/>
          <w:sz w:val="30"/>
          <w:szCs w:val="30"/>
        </w:rPr>
        <w:t>元，</w:t>
      </w:r>
      <w:r w:rsidR="00C02DB6">
        <w:rPr>
          <w:rFonts w:ascii="仿宋" w:eastAsia="仿宋" w:hAnsi="仿宋" w:hint="eastAsia"/>
          <w:sz w:val="30"/>
          <w:szCs w:val="30"/>
        </w:rPr>
        <w:t>较二季度提高4500亿元，</w:t>
      </w:r>
      <w:r w:rsidR="00A24A1E">
        <w:rPr>
          <w:rFonts w:ascii="仿宋" w:eastAsia="仿宋" w:hAnsi="仿宋" w:hint="eastAsia"/>
          <w:sz w:val="30"/>
          <w:szCs w:val="30"/>
        </w:rPr>
        <w:t>比</w:t>
      </w:r>
      <w:r w:rsidR="005F7514" w:rsidRPr="0030722E">
        <w:rPr>
          <w:rFonts w:ascii="仿宋" w:eastAsia="仿宋" w:hAnsi="仿宋" w:hint="eastAsia"/>
          <w:sz w:val="30"/>
          <w:szCs w:val="30"/>
        </w:rPr>
        <w:t>去年同期增长</w:t>
      </w:r>
      <w:r w:rsidR="005F7514">
        <w:rPr>
          <w:rFonts w:ascii="仿宋" w:eastAsia="仿宋" w:hAnsi="仿宋" w:hint="eastAsia"/>
          <w:sz w:val="30"/>
          <w:szCs w:val="30"/>
        </w:rPr>
        <w:t>2</w:t>
      </w:r>
      <w:r w:rsidR="007508E5">
        <w:rPr>
          <w:rFonts w:ascii="仿宋" w:eastAsia="仿宋" w:hAnsi="仿宋" w:hint="eastAsia"/>
          <w:sz w:val="30"/>
          <w:szCs w:val="30"/>
        </w:rPr>
        <w:t>5.7</w:t>
      </w:r>
      <w:r w:rsidR="005F7514" w:rsidRPr="0030722E">
        <w:rPr>
          <w:rFonts w:ascii="仿宋" w:eastAsia="仿宋" w:hAnsi="仿宋" w:hint="eastAsia"/>
          <w:sz w:val="30"/>
          <w:szCs w:val="30"/>
        </w:rPr>
        <w:t>%（见图</w:t>
      </w:r>
      <w:r w:rsidR="005F7514">
        <w:rPr>
          <w:rFonts w:ascii="仿宋" w:eastAsia="仿宋" w:hAnsi="仿宋"/>
          <w:sz w:val="30"/>
          <w:szCs w:val="30"/>
        </w:rPr>
        <w:t>1</w:t>
      </w:r>
      <w:r w:rsidR="00AC4B7E">
        <w:rPr>
          <w:rFonts w:ascii="仿宋" w:eastAsia="仿宋" w:hAnsi="仿宋" w:hint="eastAsia"/>
          <w:sz w:val="30"/>
          <w:szCs w:val="30"/>
        </w:rPr>
        <w:t>1</w:t>
      </w:r>
      <w:r w:rsidR="005F7514" w:rsidRPr="0030722E">
        <w:rPr>
          <w:rFonts w:ascii="仿宋" w:eastAsia="仿宋" w:hAnsi="仿宋" w:hint="eastAsia"/>
          <w:sz w:val="30"/>
          <w:szCs w:val="30"/>
        </w:rPr>
        <w:t>）</w:t>
      </w:r>
      <w:r w:rsidR="005F7514">
        <w:rPr>
          <w:rFonts w:ascii="仿宋" w:eastAsia="仿宋" w:hAnsi="仿宋" w:hint="eastAsia"/>
          <w:sz w:val="30"/>
          <w:szCs w:val="30"/>
        </w:rPr>
        <w:t>。与此同时</w:t>
      </w:r>
      <w:r w:rsidR="005F7514">
        <w:rPr>
          <w:rFonts w:ascii="仿宋" w:eastAsia="仿宋" w:hAnsi="仿宋"/>
          <w:sz w:val="30"/>
          <w:szCs w:val="30"/>
        </w:rPr>
        <w:t>，</w:t>
      </w:r>
      <w:r w:rsidR="005F7514">
        <w:rPr>
          <w:rFonts w:ascii="仿宋" w:eastAsia="仿宋" w:hAnsi="仿宋" w:hint="eastAsia"/>
          <w:sz w:val="30"/>
          <w:szCs w:val="30"/>
        </w:rPr>
        <w:t>战略性新兴产业上市公司</w:t>
      </w:r>
      <w:r w:rsidR="000D75D0">
        <w:rPr>
          <w:rFonts w:ascii="仿宋" w:eastAsia="仿宋" w:hAnsi="仿宋" w:hint="eastAsia"/>
          <w:sz w:val="30"/>
          <w:szCs w:val="30"/>
        </w:rPr>
        <w:t>平均</w:t>
      </w:r>
      <w:r w:rsidR="005F7514" w:rsidRPr="000D75D0">
        <w:rPr>
          <w:rFonts w:ascii="仿宋" w:eastAsia="仿宋" w:hAnsi="仿宋" w:hint="eastAsia"/>
          <w:sz w:val="30"/>
          <w:szCs w:val="30"/>
        </w:rPr>
        <w:t>资产负债率</w:t>
      </w:r>
      <w:r w:rsidR="00EC78D8">
        <w:rPr>
          <w:rFonts w:ascii="仿宋" w:eastAsia="仿宋" w:hAnsi="仿宋" w:hint="eastAsia"/>
          <w:sz w:val="30"/>
          <w:szCs w:val="30"/>
        </w:rPr>
        <w:t>为</w:t>
      </w:r>
      <w:r w:rsidR="00DA24E8">
        <w:rPr>
          <w:rFonts w:ascii="仿宋" w:eastAsia="仿宋" w:hAnsi="仿宋" w:hint="eastAsia"/>
          <w:sz w:val="30"/>
          <w:szCs w:val="30"/>
        </w:rPr>
        <w:t>50.9</w:t>
      </w:r>
      <w:r w:rsidR="005F7514">
        <w:rPr>
          <w:rFonts w:ascii="仿宋" w:eastAsia="仿宋" w:hAnsi="仿宋" w:hint="eastAsia"/>
          <w:sz w:val="30"/>
          <w:szCs w:val="30"/>
        </w:rPr>
        <w:t>%，</w:t>
      </w:r>
      <w:r w:rsidR="00CB287F">
        <w:rPr>
          <w:rFonts w:ascii="仿宋" w:eastAsia="仿宋" w:hAnsi="仿宋" w:hint="eastAsia"/>
          <w:sz w:val="30"/>
          <w:szCs w:val="30"/>
        </w:rPr>
        <w:t>在二季度基础上略微回落0.8个百分点。</w:t>
      </w:r>
    </w:p>
    <w:p w14:paraId="36173229" w14:textId="3CC8485E" w:rsidR="005F7514" w:rsidRPr="00062B6F" w:rsidRDefault="00F257AD" w:rsidP="0054323F">
      <w:pPr>
        <w:spacing w:line="360" w:lineRule="auto"/>
        <w:ind w:leftChars="-135" w:left="-283"/>
        <w:rPr>
          <w:rFonts w:ascii="仿宋" w:eastAsia="仿宋" w:hAnsi="仿宋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139105" wp14:editId="40B1E481">
                <wp:simplePos x="0" y="0"/>
                <wp:positionH relativeFrom="column">
                  <wp:posOffset>183515</wp:posOffset>
                </wp:positionH>
                <wp:positionV relativeFrom="paragraph">
                  <wp:posOffset>1760220</wp:posOffset>
                </wp:positionV>
                <wp:extent cx="5269865" cy="366395"/>
                <wp:effectExtent l="0" t="0" r="6985" b="0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86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9E575" w14:textId="269366BB" w:rsidR="005F7514" w:rsidRPr="00F11A1B" w:rsidRDefault="005F7514" w:rsidP="005F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1A1B">
                              <w:rPr>
                                <w:rFonts w:hint="eastAsia"/>
                                <w:b/>
                              </w:rPr>
                              <w:t>图</w:t>
                            </w:r>
                            <w:r w:rsidR="008C7AD9">
                              <w:rPr>
                                <w:b/>
                              </w:rPr>
                              <w:t>1</w:t>
                            </w:r>
                            <w:r w:rsidR="00AC4B7E">
                              <w:rPr>
                                <w:b/>
                              </w:rPr>
                              <w:t>1</w:t>
                            </w:r>
                            <w:r w:rsidR="008C7AD9">
                              <w:rPr>
                                <w:b/>
                              </w:rPr>
                              <w:t xml:space="preserve"> </w:t>
                            </w:r>
                            <w:r w:rsidR="008C7AD9" w:rsidRPr="00F11A1B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AF5D38">
                              <w:rPr>
                                <w:rFonts w:hint="eastAsia"/>
                                <w:b/>
                              </w:rPr>
                              <w:t>战略性新兴产业上市公司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资产总额情况</w:t>
                            </w:r>
                          </w:p>
                          <w:p w14:paraId="01B4B584" w14:textId="77777777" w:rsidR="005F7514" w:rsidRPr="0051169A" w:rsidRDefault="005F7514" w:rsidP="005F75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139105" id="文本框 23" o:spid="_x0000_s1036" type="#_x0000_t202" style="position:absolute;left:0;text-align:left;margin-left:14.45pt;margin-top:138.6pt;width:414.95pt;height:2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" stroked="f">
                <v:textbox>
                  <w:txbxContent>
                    <w:p w14:paraId="6709E575" w14:textId="269366BB" w:rsidR="005F7514" w:rsidRPr="00F11A1B" w:rsidRDefault="005F7514" w:rsidP="005F7514">
                      <w:pPr>
                        <w:jc w:val="center"/>
                        <w:rPr>
                          <w:b/>
                        </w:rPr>
                      </w:pPr>
                      <w:r w:rsidRPr="00F11A1B">
                        <w:rPr>
                          <w:rFonts w:hint="eastAsia"/>
                          <w:b/>
                        </w:rPr>
                        <w:t>图</w:t>
                      </w:r>
                      <w:r w:rsidR="008C7AD9">
                        <w:rPr>
                          <w:b/>
                        </w:rPr>
                        <w:t>1</w:t>
                      </w:r>
                      <w:r w:rsidR="00AC4B7E">
                        <w:rPr>
                          <w:b/>
                        </w:rPr>
                        <w:t>1</w:t>
                      </w:r>
                      <w:r w:rsidR="008C7AD9">
                        <w:rPr>
                          <w:b/>
                        </w:rPr>
                        <w:t xml:space="preserve"> </w:t>
                      </w:r>
                      <w:r w:rsidR="008C7AD9" w:rsidRPr="00F11A1B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AF5D38">
                        <w:rPr>
                          <w:rFonts w:hint="eastAsia"/>
                          <w:b/>
                        </w:rPr>
                        <w:t>战略性新兴产业上市公司</w:t>
                      </w:r>
                      <w:r>
                        <w:rPr>
                          <w:rFonts w:hint="eastAsia"/>
                          <w:b/>
                        </w:rPr>
                        <w:t>资产总额情况</w:t>
                      </w:r>
                    </w:p>
                    <w:p w14:paraId="01B4B584" w14:textId="77777777" w:rsidR="005F7514" w:rsidRPr="0051169A" w:rsidRDefault="005F7514" w:rsidP="005F75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3A7D1DCB" wp14:editId="44181556">
            <wp:extent cx="6267450" cy="1753235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2EC2656" w14:textId="6CEC355E" w:rsidR="005F7514" w:rsidRDefault="005F7514" w:rsidP="005F751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28878A1C" w14:textId="2C52FB06" w:rsidR="001C6643" w:rsidRDefault="005863B5" w:rsidP="001C6643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30"/>
          <w:szCs w:val="30"/>
        </w:rPr>
        <w:lastRenderedPageBreak/>
        <w:drawing>
          <wp:anchor distT="0" distB="0" distL="114300" distR="114300" simplePos="0" relativeHeight="251731968" behindDoc="0" locked="0" layoutInCell="1" allowOverlap="1" wp14:anchorId="10A07CBB" wp14:editId="29F315DE">
            <wp:simplePos x="0" y="0"/>
            <wp:positionH relativeFrom="column">
              <wp:posOffset>-14606</wp:posOffset>
            </wp:positionH>
            <wp:positionV relativeFrom="paragraph">
              <wp:posOffset>2314575</wp:posOffset>
            </wp:positionV>
            <wp:extent cx="5686425" cy="2162175"/>
            <wp:effectExtent l="0" t="0" r="0" b="0"/>
            <wp:wrapNone/>
            <wp:docPr id="17" name="图表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C2E">
        <w:rPr>
          <w:rFonts w:ascii="仿宋" w:eastAsia="仿宋" w:hAnsi="仿宋" w:hint="eastAsia"/>
          <w:sz w:val="30"/>
          <w:szCs w:val="30"/>
        </w:rPr>
        <w:t>三</w:t>
      </w:r>
      <w:r w:rsidR="005F7514">
        <w:rPr>
          <w:rFonts w:ascii="仿宋" w:eastAsia="仿宋" w:hAnsi="仿宋" w:hint="eastAsia"/>
          <w:sz w:val="30"/>
          <w:szCs w:val="30"/>
        </w:rPr>
        <w:t>季度末，</w:t>
      </w:r>
      <w:r w:rsidR="007D4254" w:rsidRPr="000D75D0">
        <w:rPr>
          <w:rFonts w:ascii="仿宋" w:eastAsia="仿宋" w:hAnsi="仿宋" w:hint="eastAsia"/>
          <w:sz w:val="30"/>
          <w:szCs w:val="30"/>
        </w:rPr>
        <w:t>战略性新兴产业投资热度小幅回升</w:t>
      </w:r>
      <w:r w:rsidR="007D4254">
        <w:rPr>
          <w:rFonts w:ascii="仿宋" w:eastAsia="仿宋" w:hAnsi="仿宋" w:hint="eastAsia"/>
          <w:sz w:val="30"/>
          <w:szCs w:val="30"/>
        </w:rPr>
        <w:t>。本期</w:t>
      </w:r>
      <w:r w:rsidR="005F7514" w:rsidRPr="00183709">
        <w:rPr>
          <w:rFonts w:ascii="仿宋" w:eastAsia="仿宋" w:hAnsi="仿宋" w:hint="eastAsia"/>
          <w:sz w:val="30"/>
          <w:szCs w:val="30"/>
        </w:rPr>
        <w:t>战略性新兴产业</w:t>
      </w:r>
      <w:r w:rsidR="005F7514" w:rsidRPr="00CA1A5C">
        <w:rPr>
          <w:rFonts w:ascii="仿宋" w:eastAsia="仿宋" w:hAnsi="仿宋" w:hint="eastAsia"/>
          <w:sz w:val="30"/>
          <w:szCs w:val="30"/>
        </w:rPr>
        <w:t>上市公司固定资产净值</w:t>
      </w:r>
      <w:r w:rsidR="001C636A">
        <w:rPr>
          <w:rFonts w:ascii="仿宋" w:eastAsia="仿宋" w:hAnsi="仿宋" w:hint="eastAsia"/>
          <w:sz w:val="30"/>
          <w:szCs w:val="30"/>
        </w:rPr>
        <w:t>为</w:t>
      </w:r>
      <w:r w:rsidR="00704C2E">
        <w:rPr>
          <w:rFonts w:ascii="仿宋" w:eastAsia="仿宋" w:hAnsi="仿宋" w:hint="eastAsia"/>
          <w:sz w:val="30"/>
          <w:szCs w:val="30"/>
        </w:rPr>
        <w:t>14990.9</w:t>
      </w:r>
      <w:r w:rsidR="005F7514" w:rsidRPr="00CA1A5C">
        <w:rPr>
          <w:rFonts w:ascii="仿宋" w:eastAsia="仿宋" w:hAnsi="仿宋" w:hint="eastAsia"/>
          <w:sz w:val="30"/>
          <w:szCs w:val="30"/>
        </w:rPr>
        <w:t>亿元，</w:t>
      </w:r>
      <w:r w:rsidR="005F7514">
        <w:rPr>
          <w:rFonts w:ascii="仿宋" w:eastAsia="仿宋" w:hAnsi="仿宋" w:hint="eastAsia"/>
          <w:sz w:val="30"/>
          <w:szCs w:val="30"/>
        </w:rPr>
        <w:t>同比</w:t>
      </w:r>
      <w:r w:rsidR="005F7514" w:rsidRPr="00CA1A5C">
        <w:rPr>
          <w:rFonts w:ascii="仿宋" w:eastAsia="仿宋" w:hAnsi="仿宋" w:hint="eastAsia"/>
          <w:sz w:val="30"/>
          <w:szCs w:val="30"/>
        </w:rPr>
        <w:t>增长</w:t>
      </w:r>
      <w:r w:rsidR="00704C2E">
        <w:rPr>
          <w:rFonts w:ascii="仿宋" w:eastAsia="仿宋" w:hAnsi="仿宋" w:hint="eastAsia"/>
          <w:sz w:val="30"/>
          <w:szCs w:val="30"/>
        </w:rPr>
        <w:t>18.9</w:t>
      </w:r>
      <w:r w:rsidR="005F7514" w:rsidRPr="00CA1A5C">
        <w:rPr>
          <w:rFonts w:ascii="仿宋" w:eastAsia="仿宋" w:hAnsi="仿宋"/>
          <w:sz w:val="30"/>
          <w:szCs w:val="30"/>
        </w:rPr>
        <w:t>%</w:t>
      </w:r>
      <w:r w:rsidR="005F7514">
        <w:rPr>
          <w:rFonts w:ascii="仿宋" w:eastAsia="仿宋" w:hAnsi="仿宋" w:hint="eastAsia"/>
          <w:sz w:val="30"/>
          <w:szCs w:val="30"/>
        </w:rPr>
        <w:t>，</w:t>
      </w:r>
      <w:r w:rsidR="00A24EBF">
        <w:rPr>
          <w:rFonts w:ascii="仿宋" w:eastAsia="仿宋" w:hAnsi="仿宋" w:hint="eastAsia"/>
          <w:sz w:val="30"/>
          <w:szCs w:val="30"/>
        </w:rPr>
        <w:t>增速环比</w:t>
      </w:r>
      <w:r w:rsidR="00A24EBF">
        <w:rPr>
          <w:rFonts w:ascii="仿宋" w:eastAsia="仿宋" w:hAnsi="仿宋"/>
          <w:sz w:val="30"/>
          <w:szCs w:val="30"/>
        </w:rPr>
        <w:t>回升</w:t>
      </w:r>
      <w:r w:rsidR="00704C2E">
        <w:rPr>
          <w:rFonts w:ascii="仿宋" w:eastAsia="仿宋" w:hAnsi="仿宋" w:hint="eastAsia"/>
          <w:sz w:val="30"/>
          <w:szCs w:val="30"/>
        </w:rPr>
        <w:t>0.7个百分点</w:t>
      </w:r>
      <w:r w:rsidR="005F7514">
        <w:rPr>
          <w:rFonts w:ascii="仿宋" w:eastAsia="仿宋" w:hAnsi="仿宋" w:hint="eastAsia"/>
          <w:sz w:val="30"/>
          <w:szCs w:val="30"/>
        </w:rPr>
        <w:t>（见</w:t>
      </w:r>
      <w:r w:rsidR="005F7514">
        <w:rPr>
          <w:rFonts w:ascii="仿宋" w:eastAsia="仿宋" w:hAnsi="仿宋"/>
          <w:sz w:val="30"/>
          <w:szCs w:val="30"/>
        </w:rPr>
        <w:t>图</w:t>
      </w:r>
      <w:r w:rsidR="005F7514">
        <w:rPr>
          <w:rFonts w:ascii="仿宋" w:eastAsia="仿宋" w:hAnsi="仿宋" w:hint="eastAsia"/>
          <w:sz w:val="30"/>
          <w:szCs w:val="30"/>
        </w:rPr>
        <w:t>1</w:t>
      </w:r>
      <w:r w:rsidR="00AC4B7E">
        <w:rPr>
          <w:rFonts w:ascii="仿宋" w:eastAsia="仿宋" w:hAnsi="仿宋" w:hint="eastAsia"/>
          <w:sz w:val="30"/>
          <w:szCs w:val="30"/>
        </w:rPr>
        <w:t>2</w:t>
      </w:r>
      <w:r w:rsidR="005F7514">
        <w:rPr>
          <w:rFonts w:ascii="仿宋" w:eastAsia="仿宋" w:hAnsi="仿宋"/>
          <w:sz w:val="30"/>
          <w:szCs w:val="30"/>
        </w:rPr>
        <w:t>）</w:t>
      </w:r>
      <w:r w:rsidR="005F7514">
        <w:rPr>
          <w:rFonts w:ascii="仿宋" w:eastAsia="仿宋" w:hAnsi="仿宋" w:hint="eastAsia"/>
          <w:sz w:val="30"/>
          <w:szCs w:val="30"/>
        </w:rPr>
        <w:t>。</w:t>
      </w:r>
      <w:r w:rsidR="006716A0" w:rsidRPr="00A24EBF">
        <w:rPr>
          <w:rFonts w:ascii="仿宋" w:eastAsia="仿宋" w:hAnsi="仿宋" w:hint="eastAsia"/>
          <w:sz w:val="30"/>
          <w:szCs w:val="30"/>
        </w:rPr>
        <w:t>同期上市公司整体固定资产净值增速进一步回落至</w:t>
      </w:r>
      <w:r w:rsidR="006716A0" w:rsidRPr="00A24EBF">
        <w:rPr>
          <w:rFonts w:ascii="仿宋" w:eastAsia="仿宋" w:hAnsi="仿宋"/>
          <w:sz w:val="30"/>
          <w:szCs w:val="30"/>
        </w:rPr>
        <w:t>7.8%，低于</w:t>
      </w:r>
      <w:r w:rsidR="005F7514" w:rsidRPr="00A24EBF">
        <w:rPr>
          <w:rFonts w:ascii="仿宋" w:eastAsia="仿宋" w:hAnsi="仿宋" w:hint="eastAsia"/>
          <w:sz w:val="30"/>
          <w:szCs w:val="30"/>
        </w:rPr>
        <w:t>战略性新兴产业上市公司固定资产净值增速</w:t>
      </w:r>
      <w:r w:rsidR="00704C2E" w:rsidRPr="00A24EBF">
        <w:rPr>
          <w:rFonts w:ascii="仿宋" w:eastAsia="仿宋" w:hAnsi="仿宋"/>
          <w:sz w:val="30"/>
          <w:szCs w:val="30"/>
        </w:rPr>
        <w:t>11.1</w:t>
      </w:r>
      <w:r w:rsidR="005F7514" w:rsidRPr="00A24EBF">
        <w:rPr>
          <w:rFonts w:ascii="仿宋" w:eastAsia="仿宋" w:hAnsi="仿宋" w:hint="eastAsia"/>
          <w:sz w:val="30"/>
          <w:szCs w:val="30"/>
        </w:rPr>
        <w:t>个</w:t>
      </w:r>
      <w:r w:rsidR="005F7514" w:rsidRPr="00A24EBF">
        <w:rPr>
          <w:rFonts w:ascii="仿宋" w:eastAsia="仿宋" w:hAnsi="仿宋"/>
          <w:sz w:val="30"/>
          <w:szCs w:val="30"/>
        </w:rPr>
        <w:t>百分点，</w:t>
      </w:r>
      <w:r w:rsidR="006716A0">
        <w:rPr>
          <w:rFonts w:ascii="仿宋" w:eastAsia="仿宋" w:hAnsi="仿宋" w:hint="eastAsia"/>
          <w:sz w:val="30"/>
          <w:szCs w:val="30"/>
        </w:rPr>
        <w:t>战略性新兴产业上市公司</w:t>
      </w:r>
      <w:r w:rsidR="005F7514">
        <w:rPr>
          <w:rFonts w:ascii="仿宋" w:eastAsia="仿宋" w:hAnsi="仿宋" w:hint="eastAsia"/>
          <w:sz w:val="30"/>
          <w:szCs w:val="30"/>
        </w:rPr>
        <w:t>投资扩张</w:t>
      </w:r>
      <w:r w:rsidR="005F7514">
        <w:rPr>
          <w:rFonts w:ascii="仿宋" w:eastAsia="仿宋" w:hAnsi="仿宋"/>
          <w:sz w:val="30"/>
          <w:szCs w:val="30"/>
        </w:rPr>
        <w:t>速度大幅高于</w:t>
      </w:r>
      <w:r w:rsidR="005F7514">
        <w:rPr>
          <w:rFonts w:ascii="仿宋" w:eastAsia="仿宋" w:hAnsi="仿宋" w:hint="eastAsia"/>
          <w:sz w:val="30"/>
          <w:szCs w:val="30"/>
        </w:rPr>
        <w:t>上市公司</w:t>
      </w:r>
      <w:r w:rsidR="005F7514">
        <w:rPr>
          <w:rFonts w:ascii="仿宋" w:eastAsia="仿宋" w:hAnsi="仿宋"/>
          <w:sz w:val="30"/>
          <w:szCs w:val="30"/>
        </w:rPr>
        <w:t>总体</w:t>
      </w:r>
      <w:r w:rsidR="005F7514" w:rsidRPr="00062B6F">
        <w:rPr>
          <w:rFonts w:ascii="仿宋" w:eastAsia="仿宋" w:hAnsi="仿宋" w:hint="eastAsia"/>
          <w:sz w:val="30"/>
          <w:szCs w:val="30"/>
        </w:rPr>
        <w:t>。</w:t>
      </w:r>
    </w:p>
    <w:p w14:paraId="72CA17FB" w14:textId="2E3B19A1" w:rsidR="005F7514" w:rsidRDefault="005F7514" w:rsidP="005863B5">
      <w:pPr>
        <w:spacing w:line="360" w:lineRule="auto"/>
        <w:rPr>
          <w:rFonts w:ascii="仿宋" w:eastAsia="仿宋" w:hAnsi="仿宋"/>
          <w:sz w:val="30"/>
          <w:szCs w:val="30"/>
        </w:rPr>
      </w:pPr>
    </w:p>
    <w:p w14:paraId="4E06E0C8" w14:textId="18D0FE47" w:rsidR="005F7514" w:rsidRDefault="005F7514" w:rsidP="005863B5">
      <w:pPr>
        <w:spacing w:beforeLines="100" w:before="312" w:line="360" w:lineRule="auto"/>
        <w:rPr>
          <w:rFonts w:ascii="仿宋" w:eastAsia="仿宋" w:hAnsi="仿宋"/>
          <w:color w:val="FF0000"/>
          <w:sz w:val="30"/>
          <w:szCs w:val="30"/>
        </w:rPr>
      </w:pPr>
    </w:p>
    <w:p w14:paraId="78EA485F" w14:textId="6180ACE5" w:rsidR="005F7514" w:rsidRPr="00A8643B" w:rsidRDefault="005F7514" w:rsidP="005F7514">
      <w:pPr>
        <w:rPr>
          <w:rFonts w:ascii="仿宋" w:eastAsia="仿宋" w:hAnsi="仿宋"/>
          <w:sz w:val="30"/>
          <w:szCs w:val="30"/>
        </w:rPr>
      </w:pPr>
    </w:p>
    <w:p w14:paraId="4EE75E0B" w14:textId="192860AC" w:rsidR="005F7514" w:rsidRPr="00A8643B" w:rsidRDefault="005F7514" w:rsidP="005F7514">
      <w:pPr>
        <w:rPr>
          <w:rFonts w:ascii="仿宋" w:eastAsia="仿宋" w:hAnsi="仿宋"/>
          <w:sz w:val="30"/>
          <w:szCs w:val="30"/>
        </w:rPr>
      </w:pPr>
    </w:p>
    <w:p w14:paraId="1D0FBDD1" w14:textId="57DEE57B" w:rsidR="00F14689" w:rsidRPr="005F7514" w:rsidRDefault="00F0732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24EB5B" wp14:editId="1E6F658F">
                <wp:simplePos x="0" y="0"/>
                <wp:positionH relativeFrom="column">
                  <wp:posOffset>205105</wp:posOffset>
                </wp:positionH>
                <wp:positionV relativeFrom="paragraph">
                  <wp:posOffset>298450</wp:posOffset>
                </wp:positionV>
                <wp:extent cx="5043805" cy="344170"/>
                <wp:effectExtent l="0" t="0" r="4445" b="0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8D31E" w14:textId="0A53D0B1" w:rsidR="005F7514" w:rsidRPr="00F11A1B" w:rsidRDefault="005F7514" w:rsidP="005F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1A1B">
                              <w:rPr>
                                <w:rFonts w:hint="eastAsia"/>
                                <w:b/>
                              </w:rPr>
                              <w:t>图</w:t>
                            </w:r>
                            <w:r w:rsidR="008C7AD9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AC4B7E">
                              <w:rPr>
                                <w:b/>
                              </w:rPr>
                              <w:t>2</w:t>
                            </w:r>
                            <w:r w:rsidR="008C7AD9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8C7AD9">
                              <w:rPr>
                                <w:b/>
                              </w:rPr>
                              <w:t xml:space="preserve"> </w:t>
                            </w:r>
                            <w:r w:rsidRPr="00AF5D38">
                              <w:rPr>
                                <w:rFonts w:hint="eastAsia"/>
                                <w:b/>
                              </w:rPr>
                              <w:t>战略性新兴产业上市公司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固定资产净值增速变化</w:t>
                            </w:r>
                          </w:p>
                          <w:p w14:paraId="6347CFC6" w14:textId="77777777" w:rsidR="005F7514" w:rsidRPr="005137A9" w:rsidRDefault="005F7514" w:rsidP="005F75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24EB5B" id="文本框 22" o:spid="_x0000_s1037" type="#_x0000_t202" style="position:absolute;left:0;text-align:left;margin-left:16.15pt;margin-top:23.5pt;width:397.1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" stroked="f">
                <v:textbox>
                  <w:txbxContent>
                    <w:p w14:paraId="1178D31E" w14:textId="0A53D0B1" w:rsidR="005F7514" w:rsidRPr="00F11A1B" w:rsidRDefault="005F7514" w:rsidP="005F7514">
                      <w:pPr>
                        <w:jc w:val="center"/>
                        <w:rPr>
                          <w:b/>
                        </w:rPr>
                      </w:pPr>
                      <w:r w:rsidRPr="00F11A1B">
                        <w:rPr>
                          <w:rFonts w:hint="eastAsia"/>
                          <w:b/>
                        </w:rPr>
                        <w:t>图</w:t>
                      </w:r>
                      <w:r w:rsidR="008C7AD9">
                        <w:rPr>
                          <w:rFonts w:hint="eastAsia"/>
                          <w:b/>
                        </w:rPr>
                        <w:t>1</w:t>
                      </w:r>
                      <w:r w:rsidR="00AC4B7E">
                        <w:rPr>
                          <w:b/>
                        </w:rPr>
                        <w:t>2</w:t>
                      </w:r>
                      <w:r w:rsidR="008C7AD9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8C7AD9">
                        <w:rPr>
                          <w:b/>
                        </w:rPr>
                        <w:t xml:space="preserve"> </w:t>
                      </w:r>
                      <w:r w:rsidRPr="00AF5D38">
                        <w:rPr>
                          <w:rFonts w:hint="eastAsia"/>
                          <w:b/>
                        </w:rPr>
                        <w:t>战略性新兴产业上市公司</w:t>
                      </w:r>
                      <w:r>
                        <w:rPr>
                          <w:rFonts w:hint="eastAsia"/>
                          <w:b/>
                        </w:rPr>
                        <w:t>固定资产净值增速变化</w:t>
                      </w:r>
                    </w:p>
                    <w:p w14:paraId="6347CFC6" w14:textId="77777777" w:rsidR="005F7514" w:rsidRPr="005137A9" w:rsidRDefault="005F7514" w:rsidP="005F75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F14689" w:rsidRPr="005F7514" w:rsidSect="00EA5799"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A679C" w14:textId="77777777" w:rsidR="00CD7B46" w:rsidRDefault="00CD7B46"/>
  </w:endnote>
  <w:endnote w:type="continuationSeparator" w:id="0">
    <w:p w14:paraId="56E90505" w14:textId="77777777" w:rsidR="00CD7B46" w:rsidRDefault="00CD7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D4FD1" w14:textId="77777777" w:rsidR="00CD7B46" w:rsidRDefault="00CD7B46"/>
  </w:footnote>
  <w:footnote w:type="continuationSeparator" w:id="0">
    <w:p w14:paraId="77F1904B" w14:textId="77777777" w:rsidR="00CD7B46" w:rsidRDefault="00CD7B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D9"/>
    <w:rsid w:val="0000187C"/>
    <w:rsid w:val="00010B24"/>
    <w:rsid w:val="00027EAF"/>
    <w:rsid w:val="00031681"/>
    <w:rsid w:val="00036C40"/>
    <w:rsid w:val="00041787"/>
    <w:rsid w:val="00042610"/>
    <w:rsid w:val="000429A0"/>
    <w:rsid w:val="000439C4"/>
    <w:rsid w:val="00046AA8"/>
    <w:rsid w:val="0004743D"/>
    <w:rsid w:val="00047CFF"/>
    <w:rsid w:val="00047E6D"/>
    <w:rsid w:val="00051A49"/>
    <w:rsid w:val="00051E81"/>
    <w:rsid w:val="000578F3"/>
    <w:rsid w:val="00066CFC"/>
    <w:rsid w:val="00071768"/>
    <w:rsid w:val="0009033F"/>
    <w:rsid w:val="000941D5"/>
    <w:rsid w:val="000970E1"/>
    <w:rsid w:val="00097BD7"/>
    <w:rsid w:val="000A58DD"/>
    <w:rsid w:val="000A6216"/>
    <w:rsid w:val="000B6134"/>
    <w:rsid w:val="000C20A4"/>
    <w:rsid w:val="000C6E24"/>
    <w:rsid w:val="000D4E47"/>
    <w:rsid w:val="000D517D"/>
    <w:rsid w:val="000D5D65"/>
    <w:rsid w:val="000D75D0"/>
    <w:rsid w:val="000E451B"/>
    <w:rsid w:val="000F0447"/>
    <w:rsid w:val="000F198D"/>
    <w:rsid w:val="000F2F15"/>
    <w:rsid w:val="000F7799"/>
    <w:rsid w:val="00101522"/>
    <w:rsid w:val="00102A2B"/>
    <w:rsid w:val="00102DA2"/>
    <w:rsid w:val="00104A34"/>
    <w:rsid w:val="00105094"/>
    <w:rsid w:val="00106EC2"/>
    <w:rsid w:val="00110174"/>
    <w:rsid w:val="00113D2B"/>
    <w:rsid w:val="001207A4"/>
    <w:rsid w:val="00122F57"/>
    <w:rsid w:val="00127CE5"/>
    <w:rsid w:val="001322C5"/>
    <w:rsid w:val="00141505"/>
    <w:rsid w:val="001456A8"/>
    <w:rsid w:val="00154403"/>
    <w:rsid w:val="001639A9"/>
    <w:rsid w:val="001648B7"/>
    <w:rsid w:val="00171D96"/>
    <w:rsid w:val="001729D5"/>
    <w:rsid w:val="00175415"/>
    <w:rsid w:val="00177A9A"/>
    <w:rsid w:val="001831EB"/>
    <w:rsid w:val="00185A21"/>
    <w:rsid w:val="00186587"/>
    <w:rsid w:val="00187920"/>
    <w:rsid w:val="00190A01"/>
    <w:rsid w:val="00191A98"/>
    <w:rsid w:val="001A359B"/>
    <w:rsid w:val="001B02C2"/>
    <w:rsid w:val="001B6A22"/>
    <w:rsid w:val="001B750B"/>
    <w:rsid w:val="001C0C8B"/>
    <w:rsid w:val="001C13E7"/>
    <w:rsid w:val="001C2C44"/>
    <w:rsid w:val="001C4412"/>
    <w:rsid w:val="001C636A"/>
    <w:rsid w:val="001C6643"/>
    <w:rsid w:val="001D5102"/>
    <w:rsid w:val="001D5216"/>
    <w:rsid w:val="001E10B4"/>
    <w:rsid w:val="001E23A2"/>
    <w:rsid w:val="001E35B0"/>
    <w:rsid w:val="001E41A8"/>
    <w:rsid w:val="001E5ED7"/>
    <w:rsid w:val="001E61DF"/>
    <w:rsid w:val="001E6B28"/>
    <w:rsid w:val="001F3422"/>
    <w:rsid w:val="001F487E"/>
    <w:rsid w:val="001F6755"/>
    <w:rsid w:val="00202615"/>
    <w:rsid w:val="002037E4"/>
    <w:rsid w:val="00204DE3"/>
    <w:rsid w:val="00206291"/>
    <w:rsid w:val="0021744A"/>
    <w:rsid w:val="002225F3"/>
    <w:rsid w:val="00222E58"/>
    <w:rsid w:val="00242710"/>
    <w:rsid w:val="00254D82"/>
    <w:rsid w:val="002551D0"/>
    <w:rsid w:val="002614ED"/>
    <w:rsid w:val="00261DEF"/>
    <w:rsid w:val="00270D8B"/>
    <w:rsid w:val="002732A7"/>
    <w:rsid w:val="00280200"/>
    <w:rsid w:val="00281C0B"/>
    <w:rsid w:val="002900D1"/>
    <w:rsid w:val="00292C90"/>
    <w:rsid w:val="00295F5E"/>
    <w:rsid w:val="0029795D"/>
    <w:rsid w:val="002A5556"/>
    <w:rsid w:val="002A58C1"/>
    <w:rsid w:val="002B17E5"/>
    <w:rsid w:val="002B1DFA"/>
    <w:rsid w:val="002B4D0D"/>
    <w:rsid w:val="002B5BA5"/>
    <w:rsid w:val="002B79FF"/>
    <w:rsid w:val="002D01D1"/>
    <w:rsid w:val="002D022F"/>
    <w:rsid w:val="002D1600"/>
    <w:rsid w:val="002D17B2"/>
    <w:rsid w:val="002D19C1"/>
    <w:rsid w:val="002D21CC"/>
    <w:rsid w:val="002D5680"/>
    <w:rsid w:val="002E07E9"/>
    <w:rsid w:val="002E3B03"/>
    <w:rsid w:val="002E470E"/>
    <w:rsid w:val="002F42D2"/>
    <w:rsid w:val="002F55AB"/>
    <w:rsid w:val="002F5773"/>
    <w:rsid w:val="002F5D45"/>
    <w:rsid w:val="00300141"/>
    <w:rsid w:val="0030101F"/>
    <w:rsid w:val="00303281"/>
    <w:rsid w:val="003145A9"/>
    <w:rsid w:val="003161E4"/>
    <w:rsid w:val="00325EE8"/>
    <w:rsid w:val="00330B36"/>
    <w:rsid w:val="00331BB7"/>
    <w:rsid w:val="00333702"/>
    <w:rsid w:val="003361C0"/>
    <w:rsid w:val="00342C09"/>
    <w:rsid w:val="003432DF"/>
    <w:rsid w:val="00343AEA"/>
    <w:rsid w:val="00343E9F"/>
    <w:rsid w:val="0034577A"/>
    <w:rsid w:val="00352E07"/>
    <w:rsid w:val="00353343"/>
    <w:rsid w:val="0036036E"/>
    <w:rsid w:val="0036312A"/>
    <w:rsid w:val="00363F10"/>
    <w:rsid w:val="003644D8"/>
    <w:rsid w:val="00364F3B"/>
    <w:rsid w:val="003651B3"/>
    <w:rsid w:val="00372DB6"/>
    <w:rsid w:val="0037547B"/>
    <w:rsid w:val="00376771"/>
    <w:rsid w:val="00376FB1"/>
    <w:rsid w:val="003817F1"/>
    <w:rsid w:val="003819EB"/>
    <w:rsid w:val="00387EF5"/>
    <w:rsid w:val="00395074"/>
    <w:rsid w:val="0039699E"/>
    <w:rsid w:val="00396F0E"/>
    <w:rsid w:val="003A0D8F"/>
    <w:rsid w:val="003A209B"/>
    <w:rsid w:val="003A309F"/>
    <w:rsid w:val="003A46D4"/>
    <w:rsid w:val="003B03D9"/>
    <w:rsid w:val="003C128E"/>
    <w:rsid w:val="003C277C"/>
    <w:rsid w:val="003C46C4"/>
    <w:rsid w:val="003C782D"/>
    <w:rsid w:val="003D0C19"/>
    <w:rsid w:val="003D5066"/>
    <w:rsid w:val="003D594E"/>
    <w:rsid w:val="003D61B1"/>
    <w:rsid w:val="003F140C"/>
    <w:rsid w:val="004032FD"/>
    <w:rsid w:val="0040565F"/>
    <w:rsid w:val="00406BE9"/>
    <w:rsid w:val="00413748"/>
    <w:rsid w:val="00414323"/>
    <w:rsid w:val="00414C4E"/>
    <w:rsid w:val="00422CC9"/>
    <w:rsid w:val="00426CFC"/>
    <w:rsid w:val="0043142C"/>
    <w:rsid w:val="00441861"/>
    <w:rsid w:val="00441A01"/>
    <w:rsid w:val="00445215"/>
    <w:rsid w:val="00445403"/>
    <w:rsid w:val="0045287E"/>
    <w:rsid w:val="00452CCB"/>
    <w:rsid w:val="004556CD"/>
    <w:rsid w:val="00466663"/>
    <w:rsid w:val="00466DB8"/>
    <w:rsid w:val="00473B5F"/>
    <w:rsid w:val="00480D68"/>
    <w:rsid w:val="00484B92"/>
    <w:rsid w:val="0048627F"/>
    <w:rsid w:val="00486484"/>
    <w:rsid w:val="00490747"/>
    <w:rsid w:val="00491006"/>
    <w:rsid w:val="004953C2"/>
    <w:rsid w:val="004976CA"/>
    <w:rsid w:val="004A291F"/>
    <w:rsid w:val="004A3E83"/>
    <w:rsid w:val="004A7F13"/>
    <w:rsid w:val="004B165C"/>
    <w:rsid w:val="004B73B0"/>
    <w:rsid w:val="004C234E"/>
    <w:rsid w:val="004C48E0"/>
    <w:rsid w:val="004C536A"/>
    <w:rsid w:val="004D2428"/>
    <w:rsid w:val="004E28A1"/>
    <w:rsid w:val="004E5F0C"/>
    <w:rsid w:val="005062CF"/>
    <w:rsid w:val="00510D6C"/>
    <w:rsid w:val="0051219C"/>
    <w:rsid w:val="005131BB"/>
    <w:rsid w:val="00515696"/>
    <w:rsid w:val="00516461"/>
    <w:rsid w:val="0051771E"/>
    <w:rsid w:val="0052365E"/>
    <w:rsid w:val="005240D5"/>
    <w:rsid w:val="0052484F"/>
    <w:rsid w:val="005248B5"/>
    <w:rsid w:val="00541E23"/>
    <w:rsid w:val="00542CF6"/>
    <w:rsid w:val="0054323F"/>
    <w:rsid w:val="00556682"/>
    <w:rsid w:val="00556B53"/>
    <w:rsid w:val="00557606"/>
    <w:rsid w:val="005618D7"/>
    <w:rsid w:val="00562A6A"/>
    <w:rsid w:val="00565E50"/>
    <w:rsid w:val="005832A2"/>
    <w:rsid w:val="005863B5"/>
    <w:rsid w:val="00586966"/>
    <w:rsid w:val="00586E3F"/>
    <w:rsid w:val="005912E7"/>
    <w:rsid w:val="0059355C"/>
    <w:rsid w:val="00595B43"/>
    <w:rsid w:val="005A7348"/>
    <w:rsid w:val="005B0111"/>
    <w:rsid w:val="005B236B"/>
    <w:rsid w:val="005B4465"/>
    <w:rsid w:val="005B655E"/>
    <w:rsid w:val="005B71E2"/>
    <w:rsid w:val="005C39F0"/>
    <w:rsid w:val="005D2128"/>
    <w:rsid w:val="005D4D80"/>
    <w:rsid w:val="005E00AA"/>
    <w:rsid w:val="005E4C1D"/>
    <w:rsid w:val="005F18E4"/>
    <w:rsid w:val="005F212D"/>
    <w:rsid w:val="005F217D"/>
    <w:rsid w:val="005F2FEC"/>
    <w:rsid w:val="005F3D41"/>
    <w:rsid w:val="005F3D9B"/>
    <w:rsid w:val="005F4105"/>
    <w:rsid w:val="005F7514"/>
    <w:rsid w:val="00600F32"/>
    <w:rsid w:val="00601549"/>
    <w:rsid w:val="00603E12"/>
    <w:rsid w:val="00607108"/>
    <w:rsid w:val="006101E2"/>
    <w:rsid w:val="00612108"/>
    <w:rsid w:val="006145DB"/>
    <w:rsid w:val="00614C10"/>
    <w:rsid w:val="00615117"/>
    <w:rsid w:val="0061715D"/>
    <w:rsid w:val="0061760F"/>
    <w:rsid w:val="00621A69"/>
    <w:rsid w:val="006259D9"/>
    <w:rsid w:val="006269B9"/>
    <w:rsid w:val="00627A57"/>
    <w:rsid w:val="00631848"/>
    <w:rsid w:val="006356CF"/>
    <w:rsid w:val="00637F86"/>
    <w:rsid w:val="0064013F"/>
    <w:rsid w:val="00642171"/>
    <w:rsid w:val="006426CE"/>
    <w:rsid w:val="00642844"/>
    <w:rsid w:val="00645306"/>
    <w:rsid w:val="0064639C"/>
    <w:rsid w:val="00647AE1"/>
    <w:rsid w:val="00652167"/>
    <w:rsid w:val="00653DFC"/>
    <w:rsid w:val="006552DC"/>
    <w:rsid w:val="00656C79"/>
    <w:rsid w:val="00657EB7"/>
    <w:rsid w:val="00661EA7"/>
    <w:rsid w:val="00665A7D"/>
    <w:rsid w:val="0066745B"/>
    <w:rsid w:val="006702A2"/>
    <w:rsid w:val="006716A0"/>
    <w:rsid w:val="00675707"/>
    <w:rsid w:val="00675F37"/>
    <w:rsid w:val="006849FA"/>
    <w:rsid w:val="006855FC"/>
    <w:rsid w:val="00693665"/>
    <w:rsid w:val="00693DF9"/>
    <w:rsid w:val="00696226"/>
    <w:rsid w:val="006A3045"/>
    <w:rsid w:val="006A4CA4"/>
    <w:rsid w:val="006A533E"/>
    <w:rsid w:val="006A5359"/>
    <w:rsid w:val="006B6B36"/>
    <w:rsid w:val="006D19AD"/>
    <w:rsid w:val="006D2BDF"/>
    <w:rsid w:val="006E5A7F"/>
    <w:rsid w:val="006E720B"/>
    <w:rsid w:val="006F000C"/>
    <w:rsid w:val="006F0092"/>
    <w:rsid w:val="006F3B1D"/>
    <w:rsid w:val="006F48FB"/>
    <w:rsid w:val="007011C4"/>
    <w:rsid w:val="0070149D"/>
    <w:rsid w:val="00702D5A"/>
    <w:rsid w:val="00704C2E"/>
    <w:rsid w:val="0070509B"/>
    <w:rsid w:val="00710C5F"/>
    <w:rsid w:val="00720704"/>
    <w:rsid w:val="00721643"/>
    <w:rsid w:val="00722139"/>
    <w:rsid w:val="00723249"/>
    <w:rsid w:val="00723AC1"/>
    <w:rsid w:val="00723EEE"/>
    <w:rsid w:val="007254EB"/>
    <w:rsid w:val="007334AF"/>
    <w:rsid w:val="00734345"/>
    <w:rsid w:val="00734F46"/>
    <w:rsid w:val="00737B7E"/>
    <w:rsid w:val="00741330"/>
    <w:rsid w:val="00746133"/>
    <w:rsid w:val="00746AEE"/>
    <w:rsid w:val="00746E8E"/>
    <w:rsid w:val="007508E5"/>
    <w:rsid w:val="00756109"/>
    <w:rsid w:val="0075737E"/>
    <w:rsid w:val="00757380"/>
    <w:rsid w:val="007576BA"/>
    <w:rsid w:val="007637BA"/>
    <w:rsid w:val="0076446E"/>
    <w:rsid w:val="0076650C"/>
    <w:rsid w:val="0076712C"/>
    <w:rsid w:val="007715B2"/>
    <w:rsid w:val="007731B8"/>
    <w:rsid w:val="0077740C"/>
    <w:rsid w:val="0078280A"/>
    <w:rsid w:val="00783625"/>
    <w:rsid w:val="00784503"/>
    <w:rsid w:val="007943A5"/>
    <w:rsid w:val="007A177A"/>
    <w:rsid w:val="007A2974"/>
    <w:rsid w:val="007B1D30"/>
    <w:rsid w:val="007B5746"/>
    <w:rsid w:val="007C294F"/>
    <w:rsid w:val="007C3F89"/>
    <w:rsid w:val="007D4254"/>
    <w:rsid w:val="007D42D7"/>
    <w:rsid w:val="007D77E1"/>
    <w:rsid w:val="007E588E"/>
    <w:rsid w:val="007F1B3C"/>
    <w:rsid w:val="007F3CC3"/>
    <w:rsid w:val="007F5EAC"/>
    <w:rsid w:val="007F616A"/>
    <w:rsid w:val="008003E4"/>
    <w:rsid w:val="0080274F"/>
    <w:rsid w:val="00803C22"/>
    <w:rsid w:val="00805D6B"/>
    <w:rsid w:val="0081147D"/>
    <w:rsid w:val="00811614"/>
    <w:rsid w:val="00822B08"/>
    <w:rsid w:val="00824B82"/>
    <w:rsid w:val="00833D96"/>
    <w:rsid w:val="008433A5"/>
    <w:rsid w:val="00843685"/>
    <w:rsid w:val="008455D5"/>
    <w:rsid w:val="00850724"/>
    <w:rsid w:val="00850783"/>
    <w:rsid w:val="00855021"/>
    <w:rsid w:val="0085604D"/>
    <w:rsid w:val="00857E1A"/>
    <w:rsid w:val="00857F50"/>
    <w:rsid w:val="0086230A"/>
    <w:rsid w:val="008646CC"/>
    <w:rsid w:val="0086648C"/>
    <w:rsid w:val="00871C16"/>
    <w:rsid w:val="008757EA"/>
    <w:rsid w:val="00875897"/>
    <w:rsid w:val="00875DDA"/>
    <w:rsid w:val="00877546"/>
    <w:rsid w:val="00883985"/>
    <w:rsid w:val="00884338"/>
    <w:rsid w:val="00884453"/>
    <w:rsid w:val="00886DBF"/>
    <w:rsid w:val="00896A34"/>
    <w:rsid w:val="00897528"/>
    <w:rsid w:val="008A0084"/>
    <w:rsid w:val="008A2E50"/>
    <w:rsid w:val="008A3E35"/>
    <w:rsid w:val="008A3E8D"/>
    <w:rsid w:val="008A4A3C"/>
    <w:rsid w:val="008A4FB7"/>
    <w:rsid w:val="008B0460"/>
    <w:rsid w:val="008B21AD"/>
    <w:rsid w:val="008B4794"/>
    <w:rsid w:val="008C02B7"/>
    <w:rsid w:val="008C0BF5"/>
    <w:rsid w:val="008C21CE"/>
    <w:rsid w:val="008C2EFC"/>
    <w:rsid w:val="008C34C8"/>
    <w:rsid w:val="008C7AD9"/>
    <w:rsid w:val="008D16EF"/>
    <w:rsid w:val="008D1A9F"/>
    <w:rsid w:val="008D2CBD"/>
    <w:rsid w:val="008D5208"/>
    <w:rsid w:val="008D6451"/>
    <w:rsid w:val="008D7487"/>
    <w:rsid w:val="008E18E4"/>
    <w:rsid w:val="008E32DC"/>
    <w:rsid w:val="008E3803"/>
    <w:rsid w:val="008F394D"/>
    <w:rsid w:val="008F5B80"/>
    <w:rsid w:val="00902305"/>
    <w:rsid w:val="00903895"/>
    <w:rsid w:val="009114DF"/>
    <w:rsid w:val="00911A01"/>
    <w:rsid w:val="00912A93"/>
    <w:rsid w:val="0091335E"/>
    <w:rsid w:val="00913707"/>
    <w:rsid w:val="009154E9"/>
    <w:rsid w:val="0091712D"/>
    <w:rsid w:val="0092040C"/>
    <w:rsid w:val="00925972"/>
    <w:rsid w:val="00925CE7"/>
    <w:rsid w:val="00925F12"/>
    <w:rsid w:val="0092614C"/>
    <w:rsid w:val="00937D98"/>
    <w:rsid w:val="00943092"/>
    <w:rsid w:val="00943301"/>
    <w:rsid w:val="00943586"/>
    <w:rsid w:val="00944C2E"/>
    <w:rsid w:val="009453D7"/>
    <w:rsid w:val="00946A84"/>
    <w:rsid w:val="00946F6E"/>
    <w:rsid w:val="0094717C"/>
    <w:rsid w:val="00951BF2"/>
    <w:rsid w:val="00951D3C"/>
    <w:rsid w:val="00953CCC"/>
    <w:rsid w:val="00955D65"/>
    <w:rsid w:val="00957974"/>
    <w:rsid w:val="00962586"/>
    <w:rsid w:val="009633EE"/>
    <w:rsid w:val="00965D0D"/>
    <w:rsid w:val="009679A2"/>
    <w:rsid w:val="00970D77"/>
    <w:rsid w:val="00972A5C"/>
    <w:rsid w:val="009753B6"/>
    <w:rsid w:val="0097564F"/>
    <w:rsid w:val="0097662D"/>
    <w:rsid w:val="00980452"/>
    <w:rsid w:val="0098236A"/>
    <w:rsid w:val="00983A7F"/>
    <w:rsid w:val="00990DB6"/>
    <w:rsid w:val="009933F7"/>
    <w:rsid w:val="00995CCF"/>
    <w:rsid w:val="009A0BEB"/>
    <w:rsid w:val="009B0DAE"/>
    <w:rsid w:val="009B58F4"/>
    <w:rsid w:val="009C002D"/>
    <w:rsid w:val="009C00B3"/>
    <w:rsid w:val="009C17A7"/>
    <w:rsid w:val="009C22CE"/>
    <w:rsid w:val="009C4370"/>
    <w:rsid w:val="009C68F3"/>
    <w:rsid w:val="009D29B6"/>
    <w:rsid w:val="009D2D31"/>
    <w:rsid w:val="009D765A"/>
    <w:rsid w:val="009D7C43"/>
    <w:rsid w:val="009E1BB8"/>
    <w:rsid w:val="009F3930"/>
    <w:rsid w:val="009F60E8"/>
    <w:rsid w:val="009F7E68"/>
    <w:rsid w:val="00A01CA3"/>
    <w:rsid w:val="00A031F3"/>
    <w:rsid w:val="00A052C1"/>
    <w:rsid w:val="00A15301"/>
    <w:rsid w:val="00A15741"/>
    <w:rsid w:val="00A231EC"/>
    <w:rsid w:val="00A244BD"/>
    <w:rsid w:val="00A24A1E"/>
    <w:rsid w:val="00A24C33"/>
    <w:rsid w:val="00A24EBF"/>
    <w:rsid w:val="00A2540D"/>
    <w:rsid w:val="00A26C08"/>
    <w:rsid w:val="00A332AB"/>
    <w:rsid w:val="00A3502C"/>
    <w:rsid w:val="00A44B78"/>
    <w:rsid w:val="00A46EA8"/>
    <w:rsid w:val="00A50598"/>
    <w:rsid w:val="00A50B23"/>
    <w:rsid w:val="00A53056"/>
    <w:rsid w:val="00A53C0B"/>
    <w:rsid w:val="00A57BB2"/>
    <w:rsid w:val="00A60795"/>
    <w:rsid w:val="00A63DBB"/>
    <w:rsid w:val="00A64A28"/>
    <w:rsid w:val="00A754F7"/>
    <w:rsid w:val="00A75F1A"/>
    <w:rsid w:val="00A76A32"/>
    <w:rsid w:val="00A81205"/>
    <w:rsid w:val="00A82104"/>
    <w:rsid w:val="00A93357"/>
    <w:rsid w:val="00A95EEC"/>
    <w:rsid w:val="00AB1076"/>
    <w:rsid w:val="00AB51E8"/>
    <w:rsid w:val="00AB6601"/>
    <w:rsid w:val="00AB7087"/>
    <w:rsid w:val="00AB7322"/>
    <w:rsid w:val="00AC3CD5"/>
    <w:rsid w:val="00AC4B7E"/>
    <w:rsid w:val="00AD30DE"/>
    <w:rsid w:val="00AE582A"/>
    <w:rsid w:val="00AE7FCE"/>
    <w:rsid w:val="00AF347C"/>
    <w:rsid w:val="00B058A9"/>
    <w:rsid w:val="00B12C02"/>
    <w:rsid w:val="00B215FB"/>
    <w:rsid w:val="00B2201F"/>
    <w:rsid w:val="00B2546D"/>
    <w:rsid w:val="00B261DC"/>
    <w:rsid w:val="00B267CE"/>
    <w:rsid w:val="00B27BED"/>
    <w:rsid w:val="00B33626"/>
    <w:rsid w:val="00B34E28"/>
    <w:rsid w:val="00B4363F"/>
    <w:rsid w:val="00B44A91"/>
    <w:rsid w:val="00B45263"/>
    <w:rsid w:val="00B470BD"/>
    <w:rsid w:val="00B5586A"/>
    <w:rsid w:val="00B56F4D"/>
    <w:rsid w:val="00B603C3"/>
    <w:rsid w:val="00B63F1E"/>
    <w:rsid w:val="00B652D2"/>
    <w:rsid w:val="00B67309"/>
    <w:rsid w:val="00B6793D"/>
    <w:rsid w:val="00B7354E"/>
    <w:rsid w:val="00B76ABD"/>
    <w:rsid w:val="00B778C1"/>
    <w:rsid w:val="00B83AC8"/>
    <w:rsid w:val="00B84486"/>
    <w:rsid w:val="00B905EE"/>
    <w:rsid w:val="00B90D00"/>
    <w:rsid w:val="00B94B18"/>
    <w:rsid w:val="00BA2163"/>
    <w:rsid w:val="00BA234C"/>
    <w:rsid w:val="00BA4E92"/>
    <w:rsid w:val="00BA5AC2"/>
    <w:rsid w:val="00BA60C4"/>
    <w:rsid w:val="00BA7F72"/>
    <w:rsid w:val="00BC0F11"/>
    <w:rsid w:val="00BC3F5B"/>
    <w:rsid w:val="00BC60CE"/>
    <w:rsid w:val="00BC7911"/>
    <w:rsid w:val="00BD1DB9"/>
    <w:rsid w:val="00BD42CD"/>
    <w:rsid w:val="00BD59D3"/>
    <w:rsid w:val="00BD7462"/>
    <w:rsid w:val="00BE3008"/>
    <w:rsid w:val="00BE47F7"/>
    <w:rsid w:val="00BF2D75"/>
    <w:rsid w:val="00C00DD8"/>
    <w:rsid w:val="00C02521"/>
    <w:rsid w:val="00C02ABB"/>
    <w:rsid w:val="00C02DB6"/>
    <w:rsid w:val="00C037E7"/>
    <w:rsid w:val="00C03E6E"/>
    <w:rsid w:val="00C07A84"/>
    <w:rsid w:val="00C17C56"/>
    <w:rsid w:val="00C308F6"/>
    <w:rsid w:val="00C37324"/>
    <w:rsid w:val="00C40B7C"/>
    <w:rsid w:val="00C40E80"/>
    <w:rsid w:val="00C43B15"/>
    <w:rsid w:val="00C45B0A"/>
    <w:rsid w:val="00C47556"/>
    <w:rsid w:val="00C5269B"/>
    <w:rsid w:val="00C5571A"/>
    <w:rsid w:val="00C563A4"/>
    <w:rsid w:val="00C563D9"/>
    <w:rsid w:val="00C5684A"/>
    <w:rsid w:val="00C824DC"/>
    <w:rsid w:val="00C86048"/>
    <w:rsid w:val="00C86062"/>
    <w:rsid w:val="00C86490"/>
    <w:rsid w:val="00C90F6C"/>
    <w:rsid w:val="00C933B5"/>
    <w:rsid w:val="00C96B37"/>
    <w:rsid w:val="00CA28CB"/>
    <w:rsid w:val="00CA4D68"/>
    <w:rsid w:val="00CA7DE9"/>
    <w:rsid w:val="00CB00D6"/>
    <w:rsid w:val="00CB287F"/>
    <w:rsid w:val="00CB4428"/>
    <w:rsid w:val="00CB716E"/>
    <w:rsid w:val="00CC0660"/>
    <w:rsid w:val="00CC1BC7"/>
    <w:rsid w:val="00CC2210"/>
    <w:rsid w:val="00CD2BF8"/>
    <w:rsid w:val="00CD2EEB"/>
    <w:rsid w:val="00CD3544"/>
    <w:rsid w:val="00CD3AE0"/>
    <w:rsid w:val="00CD4B14"/>
    <w:rsid w:val="00CD7B46"/>
    <w:rsid w:val="00CE385D"/>
    <w:rsid w:val="00CE74DB"/>
    <w:rsid w:val="00CF00C4"/>
    <w:rsid w:val="00CF02DA"/>
    <w:rsid w:val="00CF0793"/>
    <w:rsid w:val="00CF2A84"/>
    <w:rsid w:val="00CF4C37"/>
    <w:rsid w:val="00CF74CB"/>
    <w:rsid w:val="00D00172"/>
    <w:rsid w:val="00D04C48"/>
    <w:rsid w:val="00D0529A"/>
    <w:rsid w:val="00D052E5"/>
    <w:rsid w:val="00D0549A"/>
    <w:rsid w:val="00D12971"/>
    <w:rsid w:val="00D168CF"/>
    <w:rsid w:val="00D22873"/>
    <w:rsid w:val="00D33FA9"/>
    <w:rsid w:val="00D36C39"/>
    <w:rsid w:val="00D428B0"/>
    <w:rsid w:val="00D458DB"/>
    <w:rsid w:val="00D47434"/>
    <w:rsid w:val="00D5049B"/>
    <w:rsid w:val="00D602C5"/>
    <w:rsid w:val="00D660E6"/>
    <w:rsid w:val="00D704DF"/>
    <w:rsid w:val="00D70882"/>
    <w:rsid w:val="00D70DC9"/>
    <w:rsid w:val="00D714BE"/>
    <w:rsid w:val="00D73B02"/>
    <w:rsid w:val="00D75FEA"/>
    <w:rsid w:val="00D81147"/>
    <w:rsid w:val="00D8693A"/>
    <w:rsid w:val="00D8788B"/>
    <w:rsid w:val="00D91E07"/>
    <w:rsid w:val="00D97620"/>
    <w:rsid w:val="00DA003E"/>
    <w:rsid w:val="00DA20A1"/>
    <w:rsid w:val="00DA213D"/>
    <w:rsid w:val="00DA24E8"/>
    <w:rsid w:val="00DA625C"/>
    <w:rsid w:val="00DA6CD0"/>
    <w:rsid w:val="00DA7B99"/>
    <w:rsid w:val="00DB2D69"/>
    <w:rsid w:val="00DB3811"/>
    <w:rsid w:val="00DB6FF1"/>
    <w:rsid w:val="00DC02CB"/>
    <w:rsid w:val="00DC0729"/>
    <w:rsid w:val="00DC1498"/>
    <w:rsid w:val="00DC3185"/>
    <w:rsid w:val="00DC4666"/>
    <w:rsid w:val="00DC5D61"/>
    <w:rsid w:val="00DC65CE"/>
    <w:rsid w:val="00DC7313"/>
    <w:rsid w:val="00DD1364"/>
    <w:rsid w:val="00DE13F2"/>
    <w:rsid w:val="00DE6B1A"/>
    <w:rsid w:val="00DE7C69"/>
    <w:rsid w:val="00DF0820"/>
    <w:rsid w:val="00DF5D3F"/>
    <w:rsid w:val="00E00D28"/>
    <w:rsid w:val="00E01D28"/>
    <w:rsid w:val="00E02A98"/>
    <w:rsid w:val="00E07CE2"/>
    <w:rsid w:val="00E113A3"/>
    <w:rsid w:val="00E12F1B"/>
    <w:rsid w:val="00E20CCB"/>
    <w:rsid w:val="00E25431"/>
    <w:rsid w:val="00E25BC1"/>
    <w:rsid w:val="00E27B72"/>
    <w:rsid w:val="00E31E44"/>
    <w:rsid w:val="00E32EA0"/>
    <w:rsid w:val="00E36ECD"/>
    <w:rsid w:val="00E455A0"/>
    <w:rsid w:val="00E47328"/>
    <w:rsid w:val="00E51430"/>
    <w:rsid w:val="00E625F2"/>
    <w:rsid w:val="00E6652A"/>
    <w:rsid w:val="00E66889"/>
    <w:rsid w:val="00E72794"/>
    <w:rsid w:val="00E771B4"/>
    <w:rsid w:val="00E83207"/>
    <w:rsid w:val="00E93FD4"/>
    <w:rsid w:val="00EA376F"/>
    <w:rsid w:val="00EA3DEF"/>
    <w:rsid w:val="00EA5799"/>
    <w:rsid w:val="00EA5D2A"/>
    <w:rsid w:val="00EA7252"/>
    <w:rsid w:val="00EB00D7"/>
    <w:rsid w:val="00EB1A0B"/>
    <w:rsid w:val="00EB4B36"/>
    <w:rsid w:val="00EB4E21"/>
    <w:rsid w:val="00EC4AD1"/>
    <w:rsid w:val="00EC5B1D"/>
    <w:rsid w:val="00EC67D9"/>
    <w:rsid w:val="00EC78D8"/>
    <w:rsid w:val="00ED52F4"/>
    <w:rsid w:val="00ED59BE"/>
    <w:rsid w:val="00EE2FF8"/>
    <w:rsid w:val="00EE5F46"/>
    <w:rsid w:val="00EE7922"/>
    <w:rsid w:val="00EF3DFF"/>
    <w:rsid w:val="00F00FCE"/>
    <w:rsid w:val="00F03322"/>
    <w:rsid w:val="00F04008"/>
    <w:rsid w:val="00F07324"/>
    <w:rsid w:val="00F104F9"/>
    <w:rsid w:val="00F13E07"/>
    <w:rsid w:val="00F16492"/>
    <w:rsid w:val="00F17471"/>
    <w:rsid w:val="00F251B2"/>
    <w:rsid w:val="00F257AD"/>
    <w:rsid w:val="00F26C7A"/>
    <w:rsid w:val="00F27466"/>
    <w:rsid w:val="00F33793"/>
    <w:rsid w:val="00F353C1"/>
    <w:rsid w:val="00F37246"/>
    <w:rsid w:val="00F37BDD"/>
    <w:rsid w:val="00F43EB5"/>
    <w:rsid w:val="00F44E7D"/>
    <w:rsid w:val="00F51CF2"/>
    <w:rsid w:val="00F547BA"/>
    <w:rsid w:val="00F54AF9"/>
    <w:rsid w:val="00F54C05"/>
    <w:rsid w:val="00F60C66"/>
    <w:rsid w:val="00F624FD"/>
    <w:rsid w:val="00F6574C"/>
    <w:rsid w:val="00F71FB1"/>
    <w:rsid w:val="00F802C7"/>
    <w:rsid w:val="00F858DA"/>
    <w:rsid w:val="00F871AB"/>
    <w:rsid w:val="00F920C7"/>
    <w:rsid w:val="00F969FE"/>
    <w:rsid w:val="00FA0307"/>
    <w:rsid w:val="00FA354C"/>
    <w:rsid w:val="00FB00FB"/>
    <w:rsid w:val="00FB66BB"/>
    <w:rsid w:val="00FC06DA"/>
    <w:rsid w:val="00FD4C11"/>
    <w:rsid w:val="00FD4F1F"/>
    <w:rsid w:val="00FD5C32"/>
    <w:rsid w:val="00FD69EC"/>
    <w:rsid w:val="00FE2E83"/>
    <w:rsid w:val="00FE539E"/>
    <w:rsid w:val="00FE5E63"/>
    <w:rsid w:val="00FF3DF0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EF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D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D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52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52D2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1760F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61760F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61760F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61760F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61760F"/>
    <w:rPr>
      <w:b/>
      <w:bCs/>
    </w:rPr>
  </w:style>
  <w:style w:type="table" w:styleId="a9">
    <w:name w:val="Table Grid"/>
    <w:basedOn w:val="a1"/>
    <w:uiPriority w:val="59"/>
    <w:rsid w:val="00737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BA5A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413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D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D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52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52D2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1760F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61760F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61760F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61760F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61760F"/>
    <w:rPr>
      <w:b/>
      <w:bCs/>
    </w:rPr>
  </w:style>
  <w:style w:type="table" w:styleId="a9">
    <w:name w:val="Table Grid"/>
    <w:basedOn w:val="a1"/>
    <w:uiPriority w:val="59"/>
    <w:rsid w:val="00737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BA5A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413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://auto.ifeng.com/news/marketing/" TargetMode="Externa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4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120;&#35268;&#25253;&#21578;\02.&#19978;&#24066;&#20844;&#21496;&#25253;&#21578;\2016\2016Q3\&#25968;&#25454;\&#27665;&#20225;&#22269;&#20225;&#33829;&#25910;&#21450;&#21033;&#28070;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3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120;&#35268;&#25253;&#21578;\02.&#19978;&#24066;&#20844;&#21496;&#25253;&#21578;\2016\2016Q2\&#25968;&#25454;\&#22686;&#2145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60852008883505E-2"/>
          <c:y val="5.8826263086824614E-2"/>
          <c:w val="0.95134472739402554"/>
          <c:h val="0.7642452980670233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战略性新兴产业上市公司</c:v>
                </c:pt>
              </c:strCache>
            </c:strRef>
          </c:tx>
          <c:marker>
            <c:symbol val="circle"/>
            <c:size val="5"/>
            <c:spPr>
              <a:solidFill>
                <a:schemeClr val="bg1"/>
              </a:solidFill>
            </c:spPr>
          </c:marker>
          <c:dLbls>
            <c:dLbl>
              <c:idx val="0"/>
              <c:layout>
                <c:manualLayout>
                  <c:x val="-5.4535993720729606E-2"/>
                  <c:y val="-9.17376939541922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8142334119063143E-2"/>
                  <c:y val="-6.1032863849765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4058647841433614E-2"/>
                  <c:y val="6.30907324429750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1408272241831839E-2"/>
                  <c:y val="-6.65663200939661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3267082993936274E-2"/>
                  <c:y val="-7.17193776192340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1509638881348414E-3"/>
                  <c:y val="-8.53456301387740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5"/>
                <c:pt idx="0">
                  <c:v>2013Q1</c:v>
                </c:pt>
                <c:pt idx="1">
                  <c:v>2013Q2</c:v>
                </c:pt>
                <c:pt idx="2">
                  <c:v>2013Q3</c:v>
                </c:pt>
                <c:pt idx="3">
                  <c:v>2013Q4</c:v>
                </c:pt>
                <c:pt idx="4">
                  <c:v>2014Q1</c:v>
                </c:pt>
                <c:pt idx="5">
                  <c:v>2014Q2</c:v>
                </c:pt>
                <c:pt idx="6">
                  <c:v>2014Q3</c:v>
                </c:pt>
                <c:pt idx="7">
                  <c:v>2014Q4</c:v>
                </c:pt>
                <c:pt idx="8">
                  <c:v>2015Q1</c:v>
                </c:pt>
                <c:pt idx="9">
                  <c:v>2015Q2</c:v>
                </c:pt>
                <c:pt idx="10">
                  <c:v>2015Q3</c:v>
                </c:pt>
                <c:pt idx="11">
                  <c:v>2015Q4</c:v>
                </c:pt>
                <c:pt idx="12">
                  <c:v>2016Q1</c:v>
                </c:pt>
                <c:pt idx="13">
                  <c:v>2016Q2</c:v>
                </c:pt>
                <c:pt idx="14">
                  <c:v>2016Q3</c:v>
                </c:pt>
              </c:strCache>
            </c:strRef>
          </c:cat>
          <c:val>
            <c:numRef>
              <c:f>Sheet1!$B$2:$B$16</c:f>
              <c:numCache>
                <c:formatCode>0.0%</c:formatCode>
                <c:ptCount val="15"/>
                <c:pt idx="0">
                  <c:v>0.129491416230189</c:v>
                </c:pt>
                <c:pt idx="1">
                  <c:v>0.10806197715541632</c:v>
                </c:pt>
                <c:pt idx="2">
                  <c:v>0.11845734488725723</c:v>
                </c:pt>
                <c:pt idx="3">
                  <c:v>0.13759677661904002</c:v>
                </c:pt>
                <c:pt idx="4">
                  <c:v>0.12183752463708974</c:v>
                </c:pt>
                <c:pt idx="5">
                  <c:v>0.18519055755307567</c:v>
                </c:pt>
                <c:pt idx="6">
                  <c:v>0.17918720473298211</c:v>
                </c:pt>
                <c:pt idx="7">
                  <c:v>0.15336099220059562</c:v>
                </c:pt>
                <c:pt idx="8">
                  <c:v>0.18777268209029518</c:v>
                </c:pt>
                <c:pt idx="9">
                  <c:v>0.16745007264154999</c:v>
                </c:pt>
                <c:pt idx="10">
                  <c:v>0.17661213815955579</c:v>
                </c:pt>
                <c:pt idx="11">
                  <c:v>0.16435174071014136</c:v>
                </c:pt>
                <c:pt idx="12">
                  <c:v>0.17343505466232245</c:v>
                </c:pt>
                <c:pt idx="13">
                  <c:v>0.18073308954563005</c:v>
                </c:pt>
                <c:pt idx="14">
                  <c:v>0.18192666195047025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上市公司总体</c:v>
                </c:pt>
              </c:strCache>
            </c:strRef>
          </c:tx>
          <c:marker>
            <c:symbol val="circle"/>
            <c:size val="5"/>
            <c:spPr>
              <a:solidFill>
                <a:schemeClr val="bg1"/>
              </a:solidFill>
            </c:spPr>
          </c:marker>
          <c:dLbls>
            <c:dLbl>
              <c:idx val="0"/>
              <c:layout>
                <c:manualLayout>
                  <c:x val="-5.7629106706489276E-2"/>
                  <c:y val="0.106182914980931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0881165716354421E-2"/>
                  <c:y val="9.770971998665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265544393157773E-2"/>
                  <c:y val="7.04572149475790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538872296135436E-2"/>
                  <c:y val="6.82437899682429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8345189609919492E-2"/>
                  <c:y val="5.4617537448702756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870571910995283E-2"/>
                  <c:y val="-4.2253521126760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7993714161525985E-2"/>
                  <c:y val="-4.2253521126760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624287409933706E-2"/>
                  <c:y val="-4.22535211267606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7993714161526068E-2"/>
                  <c:y val="-4.85133020344287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7993714161525985E-2"/>
                  <c:y val="-5.47730829420970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870571910995283E-2"/>
                  <c:y val="-5.4773082942097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8705719109952E-2"/>
                  <c:y val="-6.1032863849765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870571910995359E-2"/>
                  <c:y val="-7.3552425665101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1685641205693E-2"/>
                  <c:y val="-4.85133020344287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1344376267347852E-2"/>
                  <c:y val="-7.35522976754977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5"/>
                <c:pt idx="0">
                  <c:v>2013Q1</c:v>
                </c:pt>
                <c:pt idx="1">
                  <c:v>2013Q2</c:v>
                </c:pt>
                <c:pt idx="2">
                  <c:v>2013Q3</c:v>
                </c:pt>
                <c:pt idx="3">
                  <c:v>2013Q4</c:v>
                </c:pt>
                <c:pt idx="4">
                  <c:v>2014Q1</c:v>
                </c:pt>
                <c:pt idx="5">
                  <c:v>2014Q2</c:v>
                </c:pt>
                <c:pt idx="6">
                  <c:v>2014Q3</c:v>
                </c:pt>
                <c:pt idx="7">
                  <c:v>2014Q4</c:v>
                </c:pt>
                <c:pt idx="8">
                  <c:v>2015Q1</c:v>
                </c:pt>
                <c:pt idx="9">
                  <c:v>2015Q2</c:v>
                </c:pt>
                <c:pt idx="10">
                  <c:v>2015Q3</c:v>
                </c:pt>
                <c:pt idx="11">
                  <c:v>2015Q4</c:v>
                </c:pt>
                <c:pt idx="12">
                  <c:v>2016Q1</c:v>
                </c:pt>
                <c:pt idx="13">
                  <c:v>2016Q2</c:v>
                </c:pt>
                <c:pt idx="14">
                  <c:v>2016Q3</c:v>
                </c:pt>
              </c:strCache>
            </c:strRef>
          </c:cat>
          <c:val>
            <c:numRef>
              <c:f>Sheet1!$C$2:$C$16</c:f>
              <c:numCache>
                <c:formatCode>0.0%</c:formatCode>
                <c:ptCount val="15"/>
                <c:pt idx="0">
                  <c:v>9.4E-2</c:v>
                </c:pt>
                <c:pt idx="1">
                  <c:v>0.10299999999999999</c:v>
                </c:pt>
                <c:pt idx="2">
                  <c:v>0.109</c:v>
                </c:pt>
                <c:pt idx="3">
                  <c:v>9.7000000000000003E-2</c:v>
                </c:pt>
                <c:pt idx="4">
                  <c:v>7.2999999999999995E-2</c:v>
                </c:pt>
                <c:pt idx="5">
                  <c:v>7.3999999999999996E-2</c:v>
                </c:pt>
                <c:pt idx="6">
                  <c:v>7.1999999999999995E-2</c:v>
                </c:pt>
                <c:pt idx="7">
                  <c:v>6.2E-2</c:v>
                </c:pt>
                <c:pt idx="8">
                  <c:v>3.0000000000000001E-3</c:v>
                </c:pt>
                <c:pt idx="9">
                  <c:v>1.4999999999999999E-2</c:v>
                </c:pt>
                <c:pt idx="10">
                  <c:v>5.0000000000000001E-3</c:v>
                </c:pt>
                <c:pt idx="11">
                  <c:v>1.0999999999999999E-2</c:v>
                </c:pt>
                <c:pt idx="12">
                  <c:v>5.5E-2</c:v>
                </c:pt>
                <c:pt idx="13">
                  <c:v>3.4000000000000002E-2</c:v>
                </c:pt>
                <c:pt idx="14">
                  <c:v>4.9000000000000002E-2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918080"/>
        <c:axId val="319919616"/>
      </c:lineChart>
      <c:catAx>
        <c:axId val="319918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zh-CN"/>
          </a:p>
        </c:txPr>
        <c:crossAx val="319919616"/>
        <c:crosses val="autoZero"/>
        <c:auto val="1"/>
        <c:lblAlgn val="ctr"/>
        <c:lblOffset val="100"/>
        <c:noMultiLvlLbl val="0"/>
      </c:catAx>
      <c:valAx>
        <c:axId val="319919616"/>
        <c:scaling>
          <c:orientation val="minMax"/>
          <c:max val="0.30000000000000004"/>
        </c:scaling>
        <c:delete val="1"/>
        <c:axPos val="l"/>
        <c:majorGridlines>
          <c:spPr>
            <a:ln>
              <a:noFill/>
            </a:ln>
          </c:spPr>
        </c:majorGridlines>
        <c:numFmt formatCode="0.0%" sourceLinked="1"/>
        <c:majorTickMark val="out"/>
        <c:minorTickMark val="none"/>
        <c:tickLblPos val="nextTo"/>
        <c:crossAx val="319918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9.733134220291427E-2"/>
          <c:y val="5.4722524325343309E-2"/>
          <c:w val="0.79050957304308089"/>
          <c:h val="9.486541733054106E-2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259965551181104E-2"/>
          <c:y val="0.21684842870577006"/>
          <c:w val="0.94270833333333381"/>
          <c:h val="0.595351944643283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完成重组数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3"/>
              <c:layout>
                <c:manualLayout>
                  <c:x val="0"/>
                  <c:y val="0.103903322245147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2015Q1</c:v>
                </c:pt>
                <c:pt idx="1">
                  <c:v>2015Q2</c:v>
                </c:pt>
                <c:pt idx="2">
                  <c:v>2015Q3</c:v>
                </c:pt>
                <c:pt idx="3">
                  <c:v>2015Q4</c:v>
                </c:pt>
                <c:pt idx="4">
                  <c:v>2016Q1</c:v>
                </c:pt>
                <c:pt idx="5">
                  <c:v>2016Q2</c:v>
                </c:pt>
                <c:pt idx="6">
                  <c:v>2016Q3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29</c:v>
                </c:pt>
                <c:pt idx="1">
                  <c:v>19</c:v>
                </c:pt>
                <c:pt idx="2">
                  <c:v>36</c:v>
                </c:pt>
                <c:pt idx="3">
                  <c:v>58</c:v>
                </c:pt>
                <c:pt idx="4">
                  <c:v>29</c:v>
                </c:pt>
                <c:pt idx="5">
                  <c:v>29</c:v>
                </c:pt>
                <c:pt idx="6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2"/>
        <c:axId val="354623872"/>
        <c:axId val="354625408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占上市公司总体完成重组数比重</c:v>
                </c:pt>
              </c:strCache>
            </c:strRef>
          </c:tx>
          <c:marker>
            <c:symbol val="circle"/>
            <c:size val="5"/>
            <c:spPr>
              <a:solidFill>
                <a:schemeClr val="bg1"/>
              </a:solidFill>
            </c:spPr>
          </c:marker>
          <c:dLbls>
            <c:dLbl>
              <c:idx val="2"/>
              <c:layout>
                <c:manualLayout>
                  <c:x val="-5.7513123359580053E-2"/>
                  <c:y val="-0.152291815795752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5350975864859091E-2"/>
                  <c:y val="-5.7771976363917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2015Q1</c:v>
                </c:pt>
                <c:pt idx="1">
                  <c:v>2015Q2</c:v>
                </c:pt>
                <c:pt idx="2">
                  <c:v>2015Q3</c:v>
                </c:pt>
                <c:pt idx="3">
                  <c:v>2015Q4</c:v>
                </c:pt>
                <c:pt idx="4">
                  <c:v>2016Q1</c:v>
                </c:pt>
                <c:pt idx="5">
                  <c:v>2016Q2</c:v>
                </c:pt>
                <c:pt idx="6">
                  <c:v>2016Q3</c:v>
                </c:pt>
              </c:strCache>
            </c:strRef>
          </c:cat>
          <c:val>
            <c:numRef>
              <c:f>Sheet1!$C$2:$C$8</c:f>
              <c:numCache>
                <c:formatCode>0.0%</c:formatCode>
                <c:ptCount val="7"/>
                <c:pt idx="0">
                  <c:v>0.54700000000000004</c:v>
                </c:pt>
                <c:pt idx="1">
                  <c:v>0.40400000000000003</c:v>
                </c:pt>
                <c:pt idx="2">
                  <c:v>0.45</c:v>
                </c:pt>
                <c:pt idx="3">
                  <c:v>0.51300000000000001</c:v>
                </c:pt>
                <c:pt idx="4">
                  <c:v>0.47499999999999998</c:v>
                </c:pt>
                <c:pt idx="5">
                  <c:v>0.49199999999999999</c:v>
                </c:pt>
                <c:pt idx="6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4628736"/>
        <c:axId val="354626944"/>
      </c:lineChart>
      <c:catAx>
        <c:axId val="354623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zh-CN"/>
          </a:p>
        </c:txPr>
        <c:crossAx val="354625408"/>
        <c:crosses val="autoZero"/>
        <c:auto val="1"/>
        <c:lblAlgn val="ctr"/>
        <c:lblOffset val="100"/>
        <c:noMultiLvlLbl val="0"/>
      </c:catAx>
      <c:valAx>
        <c:axId val="354625408"/>
        <c:scaling>
          <c:orientation val="minMax"/>
          <c:max val="7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>
                <a:solidFill>
                  <a:schemeClr val="bg1"/>
                </a:solidFill>
              </a:defRPr>
            </a:pPr>
            <a:endParaRPr lang="zh-CN"/>
          </a:p>
        </c:txPr>
        <c:crossAx val="354623872"/>
        <c:crosses val="autoZero"/>
        <c:crossBetween val="between"/>
      </c:valAx>
      <c:valAx>
        <c:axId val="354626944"/>
        <c:scaling>
          <c:orientation val="minMax"/>
          <c:max val="1.2"/>
        </c:scaling>
        <c:delete val="0"/>
        <c:axPos val="r"/>
        <c:numFmt formatCode="0.0%" sourceLinked="1"/>
        <c:majorTickMark val="out"/>
        <c:minorTickMark val="none"/>
        <c:tickLblPos val="none"/>
        <c:spPr>
          <a:ln>
            <a:noFill/>
          </a:ln>
        </c:spPr>
        <c:crossAx val="354628736"/>
        <c:crosses val="max"/>
        <c:crossBetween val="between"/>
        <c:minorUnit val="0.1"/>
      </c:valAx>
      <c:catAx>
        <c:axId val="35462873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54626944"/>
        <c:crosses val="max"/>
        <c:auto val="1"/>
        <c:lblAlgn val="ctr"/>
        <c:lblOffset val="100"/>
        <c:noMultiLvlLbl val="0"/>
      </c:cat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0.51533415107031222"/>
          <c:y val="0.14848060659084281"/>
          <c:w val="0.481210309237661"/>
          <c:h val="0.2006012884753042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091928025125894E-2"/>
          <c:y val="6.7775723967960569E-2"/>
          <c:w val="0.87554878753363374"/>
          <c:h val="0.87297196325649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总资产（万亿元）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Sheet1!$A$2:$A$16</c:f>
              <c:strCache>
                <c:ptCount val="15"/>
                <c:pt idx="0">
                  <c:v>2013Q1</c:v>
                </c:pt>
                <c:pt idx="1">
                  <c:v>2013Q2</c:v>
                </c:pt>
                <c:pt idx="2">
                  <c:v>2013Q3</c:v>
                </c:pt>
                <c:pt idx="3">
                  <c:v>2013Q4</c:v>
                </c:pt>
                <c:pt idx="4">
                  <c:v>2014Q1</c:v>
                </c:pt>
                <c:pt idx="5">
                  <c:v>2014Q2</c:v>
                </c:pt>
                <c:pt idx="6">
                  <c:v>2014Q3</c:v>
                </c:pt>
                <c:pt idx="7">
                  <c:v>2014Q4</c:v>
                </c:pt>
                <c:pt idx="8">
                  <c:v>2015Q1</c:v>
                </c:pt>
                <c:pt idx="9">
                  <c:v>2015Q2</c:v>
                </c:pt>
                <c:pt idx="10">
                  <c:v>2015Q3</c:v>
                </c:pt>
                <c:pt idx="11">
                  <c:v>2015Q4</c:v>
                </c:pt>
                <c:pt idx="12">
                  <c:v>2016Q1</c:v>
                </c:pt>
                <c:pt idx="13">
                  <c:v>2016Q2</c:v>
                </c:pt>
                <c:pt idx="14">
                  <c:v>2016Q3</c:v>
                </c:pt>
              </c:strCache>
            </c:strRef>
          </c:cat>
          <c:val>
            <c:numRef>
              <c:f>Sheet1!$B$2:$B$16</c:f>
              <c:numCache>
                <c:formatCode>General</c:formatCode>
                <c:ptCount val="15"/>
                <c:pt idx="0">
                  <c:v>3.98</c:v>
                </c:pt>
                <c:pt idx="1">
                  <c:v>4.12</c:v>
                </c:pt>
                <c:pt idx="2">
                  <c:v>4.29</c:v>
                </c:pt>
                <c:pt idx="3">
                  <c:v>4.4800000000000004</c:v>
                </c:pt>
                <c:pt idx="4">
                  <c:v>4.6399999999999997</c:v>
                </c:pt>
                <c:pt idx="5">
                  <c:v>4.91</c:v>
                </c:pt>
                <c:pt idx="6">
                  <c:v>5.23</c:v>
                </c:pt>
                <c:pt idx="7">
                  <c:v>5.53</c:v>
                </c:pt>
                <c:pt idx="8">
                  <c:v>5.77</c:v>
                </c:pt>
                <c:pt idx="9">
                  <c:v>6.4</c:v>
                </c:pt>
                <c:pt idx="10">
                  <c:v>6.68</c:v>
                </c:pt>
                <c:pt idx="11" formatCode="0.00_ ">
                  <c:v>7.21</c:v>
                </c:pt>
                <c:pt idx="12" formatCode="0.00_ ">
                  <c:v>7.5</c:v>
                </c:pt>
                <c:pt idx="13" formatCode="0.00_ ">
                  <c:v>7.95</c:v>
                </c:pt>
                <c:pt idx="14" formatCode="0.00_ ">
                  <c:v>8.4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354663808"/>
        <c:axId val="408192512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总资产增速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Sheet1!$A$2:$A$16</c:f>
              <c:strCache>
                <c:ptCount val="15"/>
                <c:pt idx="0">
                  <c:v>2013Q1</c:v>
                </c:pt>
                <c:pt idx="1">
                  <c:v>2013Q2</c:v>
                </c:pt>
                <c:pt idx="2">
                  <c:v>2013Q3</c:v>
                </c:pt>
                <c:pt idx="3">
                  <c:v>2013Q4</c:v>
                </c:pt>
                <c:pt idx="4">
                  <c:v>2014Q1</c:v>
                </c:pt>
                <c:pt idx="5">
                  <c:v>2014Q2</c:v>
                </c:pt>
                <c:pt idx="6">
                  <c:v>2014Q3</c:v>
                </c:pt>
                <c:pt idx="7">
                  <c:v>2014Q4</c:v>
                </c:pt>
                <c:pt idx="8">
                  <c:v>2015Q1</c:v>
                </c:pt>
                <c:pt idx="9">
                  <c:v>2015Q2</c:v>
                </c:pt>
                <c:pt idx="10">
                  <c:v>2015Q3</c:v>
                </c:pt>
                <c:pt idx="11">
                  <c:v>2015Q4</c:v>
                </c:pt>
                <c:pt idx="12">
                  <c:v>2016Q1</c:v>
                </c:pt>
                <c:pt idx="13">
                  <c:v>2016Q2</c:v>
                </c:pt>
                <c:pt idx="14">
                  <c:v>2016Q3</c:v>
                </c:pt>
              </c:strCache>
            </c:strRef>
          </c:cat>
          <c:val>
            <c:numRef>
              <c:f>Sheet1!$C$2:$C$16</c:f>
              <c:numCache>
                <c:formatCode>0.00%</c:formatCode>
                <c:ptCount val="15"/>
                <c:pt idx="0">
                  <c:v>0.13068181818181812</c:v>
                </c:pt>
                <c:pt idx="1">
                  <c:v>0.12876712328767126</c:v>
                </c:pt>
                <c:pt idx="2">
                  <c:v>0.13793103448275867</c:v>
                </c:pt>
                <c:pt idx="3">
                  <c:v>0.14285714285714302</c:v>
                </c:pt>
                <c:pt idx="4">
                  <c:v>0.16582914572864316</c:v>
                </c:pt>
                <c:pt idx="5">
                  <c:v>0.19174757281553401</c:v>
                </c:pt>
                <c:pt idx="6">
                  <c:v>0.21911421911421924</c:v>
                </c:pt>
                <c:pt idx="7">
                  <c:v>0.234375</c:v>
                </c:pt>
                <c:pt idx="8">
                  <c:v>0.24353448275862077</c:v>
                </c:pt>
                <c:pt idx="9">
                  <c:v>0.30346232179226074</c:v>
                </c:pt>
                <c:pt idx="10">
                  <c:v>0.27724665391969383</c:v>
                </c:pt>
                <c:pt idx="11">
                  <c:v>0.30379746835443022</c:v>
                </c:pt>
                <c:pt idx="12">
                  <c:v>0.29982668977469684</c:v>
                </c:pt>
                <c:pt idx="13">
                  <c:v>0.2421875</c:v>
                </c:pt>
                <c:pt idx="14">
                  <c:v>0.2574850299401199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8195840"/>
        <c:axId val="408194048"/>
      </c:lineChart>
      <c:catAx>
        <c:axId val="354663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08192512"/>
        <c:crosses val="autoZero"/>
        <c:auto val="1"/>
        <c:lblAlgn val="ctr"/>
        <c:lblOffset val="100"/>
        <c:noMultiLvlLbl val="0"/>
      </c:catAx>
      <c:valAx>
        <c:axId val="408192512"/>
        <c:scaling>
          <c:orientation val="minMax"/>
          <c:max val="11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54663808"/>
        <c:crosses val="autoZero"/>
        <c:crossBetween val="between"/>
      </c:valAx>
      <c:valAx>
        <c:axId val="408194048"/>
        <c:scaling>
          <c:orientation val="minMax"/>
          <c:max val="0.35000000000000003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08195840"/>
        <c:crosses val="max"/>
        <c:crossBetween val="between"/>
      </c:valAx>
      <c:catAx>
        <c:axId val="4081958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081940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1218718805523731E-2"/>
          <c:y val="9.9020525758775346E-2"/>
          <c:w val="0.39520958083832336"/>
          <c:h val="8.72099127143990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0792563750320525E-2"/>
          <c:y val="0.29021252054800289"/>
          <c:w val="0.94270833333333337"/>
          <c:h val="0.5590037612579903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战略性新兴产业上市公司固定资产净值增速</c:v>
                </c:pt>
              </c:strCache>
            </c:strRef>
          </c:tx>
          <c:marker>
            <c:spPr>
              <a:solidFill>
                <a:sysClr val="window" lastClr="FFFFFF"/>
              </a:solidFill>
            </c:spPr>
          </c:marker>
          <c:dLbls>
            <c:dLbl>
              <c:idx val="7"/>
              <c:layout>
                <c:manualLayout>
                  <c:x val="-4.9779922754355485E-2"/>
                  <c:y val="-4.46886628057842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762355117723456E-2"/>
                  <c:y val="-4.911217933423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/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5"/>
                <c:pt idx="0">
                  <c:v>2013Q1</c:v>
                </c:pt>
                <c:pt idx="1">
                  <c:v>2013Q2</c:v>
                </c:pt>
                <c:pt idx="2">
                  <c:v>2013Q3</c:v>
                </c:pt>
                <c:pt idx="3">
                  <c:v>2013Q4</c:v>
                </c:pt>
                <c:pt idx="4">
                  <c:v>2014Q1</c:v>
                </c:pt>
                <c:pt idx="5">
                  <c:v>2014Q2</c:v>
                </c:pt>
                <c:pt idx="6">
                  <c:v>2014Q3</c:v>
                </c:pt>
                <c:pt idx="7">
                  <c:v>2014Q4</c:v>
                </c:pt>
                <c:pt idx="8">
                  <c:v>2015Q1</c:v>
                </c:pt>
                <c:pt idx="9">
                  <c:v>2015Q2</c:v>
                </c:pt>
                <c:pt idx="10">
                  <c:v>2015Q3</c:v>
                </c:pt>
                <c:pt idx="11">
                  <c:v>2015Q4</c:v>
                </c:pt>
                <c:pt idx="12">
                  <c:v>2016Q1</c:v>
                </c:pt>
                <c:pt idx="13">
                  <c:v>2016Q2</c:v>
                </c:pt>
                <c:pt idx="14">
                  <c:v>2016Q3</c:v>
                </c:pt>
              </c:strCache>
            </c:strRef>
          </c:cat>
          <c:val>
            <c:numRef>
              <c:f>Sheet1!$B$2:$B$16</c:f>
              <c:numCache>
                <c:formatCode>0.0%</c:formatCode>
                <c:ptCount val="15"/>
                <c:pt idx="0">
                  <c:v>0.21917911096102505</c:v>
                </c:pt>
                <c:pt idx="1">
                  <c:v>0.17633676432585976</c:v>
                </c:pt>
                <c:pt idx="2">
                  <c:v>0.1583358020923562</c:v>
                </c:pt>
                <c:pt idx="3">
                  <c:v>0.16785664152358248</c:v>
                </c:pt>
                <c:pt idx="4">
                  <c:v>0.17959050403533094</c:v>
                </c:pt>
                <c:pt idx="5">
                  <c:v>0.20622944456204029</c:v>
                </c:pt>
                <c:pt idx="6">
                  <c:v>0.23318036028369193</c:v>
                </c:pt>
                <c:pt idx="7">
                  <c:v>0.2150156357432349</c:v>
                </c:pt>
                <c:pt idx="8">
                  <c:v>0.220213955290119</c:v>
                </c:pt>
                <c:pt idx="9">
                  <c:v>0.31027327935385185</c:v>
                </c:pt>
                <c:pt idx="10">
                  <c:v>0.27706890210379709</c:v>
                </c:pt>
                <c:pt idx="11">
                  <c:v>0.31725240297306923</c:v>
                </c:pt>
                <c:pt idx="12">
                  <c:v>0.28658302883404674</c:v>
                </c:pt>
                <c:pt idx="13">
                  <c:v>0.18186512651288855</c:v>
                </c:pt>
                <c:pt idx="14">
                  <c:v>0.18883988611546698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上市公司固定资产净值增速</c:v>
                </c:pt>
              </c:strCache>
            </c:strRef>
          </c:tx>
          <c:marker>
            <c:symbol val="square"/>
            <c:size val="5"/>
            <c:spPr>
              <a:solidFill>
                <a:sysClr val="window" lastClr="FFFFFF"/>
              </a:solidFill>
            </c:spPr>
          </c:marker>
          <c:dLbls>
            <c:dLbl>
              <c:idx val="7"/>
              <c:layout>
                <c:manualLayout>
                  <c:x val="-5.1936294331476417E-2"/>
                  <c:y val="-6.14757338770659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/>
                </a:pPr>
                <a:endParaRPr lang="zh-CN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5"/>
                <c:pt idx="0">
                  <c:v>2013Q1</c:v>
                </c:pt>
                <c:pt idx="1">
                  <c:v>2013Q2</c:v>
                </c:pt>
                <c:pt idx="2">
                  <c:v>2013Q3</c:v>
                </c:pt>
                <c:pt idx="3">
                  <c:v>2013Q4</c:v>
                </c:pt>
                <c:pt idx="4">
                  <c:v>2014Q1</c:v>
                </c:pt>
                <c:pt idx="5">
                  <c:v>2014Q2</c:v>
                </c:pt>
                <c:pt idx="6">
                  <c:v>2014Q3</c:v>
                </c:pt>
                <c:pt idx="7">
                  <c:v>2014Q4</c:v>
                </c:pt>
                <c:pt idx="8">
                  <c:v>2015Q1</c:v>
                </c:pt>
                <c:pt idx="9">
                  <c:v>2015Q2</c:v>
                </c:pt>
                <c:pt idx="10">
                  <c:v>2015Q3</c:v>
                </c:pt>
                <c:pt idx="11">
                  <c:v>2015Q4</c:v>
                </c:pt>
                <c:pt idx="12">
                  <c:v>2016Q1</c:v>
                </c:pt>
                <c:pt idx="13">
                  <c:v>2016Q2</c:v>
                </c:pt>
                <c:pt idx="14">
                  <c:v>2016Q3</c:v>
                </c:pt>
              </c:strCache>
            </c:strRef>
          </c:cat>
          <c:val>
            <c:numRef>
              <c:f>Sheet1!$C$2:$C$16</c:f>
              <c:numCache>
                <c:formatCode>0.0%</c:formatCode>
                <c:ptCount val="15"/>
                <c:pt idx="0">
                  <c:v>0.13381998921300853</c:v>
                </c:pt>
                <c:pt idx="1">
                  <c:v>0.13169270264463306</c:v>
                </c:pt>
                <c:pt idx="2">
                  <c:v>0.12616501809836045</c:v>
                </c:pt>
                <c:pt idx="3">
                  <c:v>0.11313744516724933</c:v>
                </c:pt>
                <c:pt idx="4">
                  <c:v>0.12066464180544623</c:v>
                </c:pt>
                <c:pt idx="5">
                  <c:v>0.12180014881561974</c:v>
                </c:pt>
                <c:pt idx="6">
                  <c:v>0.10116738903327294</c:v>
                </c:pt>
                <c:pt idx="7">
                  <c:v>0.10667804569721895</c:v>
                </c:pt>
                <c:pt idx="8">
                  <c:v>0.11296242036688309</c:v>
                </c:pt>
                <c:pt idx="9">
                  <c:v>0.11270851455593967</c:v>
                </c:pt>
                <c:pt idx="10">
                  <c:v>0.14391349338555681</c:v>
                </c:pt>
                <c:pt idx="11">
                  <c:v>0.10550248216029989</c:v>
                </c:pt>
                <c:pt idx="12">
                  <c:v>0.10655474571571122</c:v>
                </c:pt>
                <c:pt idx="13">
                  <c:v>8.4000000000000005E-2</c:v>
                </c:pt>
                <c:pt idx="14">
                  <c:v>7.7799999999999994E-2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3821824"/>
        <c:axId val="333823360"/>
      </c:lineChart>
      <c:catAx>
        <c:axId val="333821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 rot="0" vert="horz"/>
          <a:lstStyle/>
          <a:p>
            <a:pPr>
              <a:defRPr sz="1050" b="1"/>
            </a:pPr>
            <a:endParaRPr lang="zh-CN"/>
          </a:p>
        </c:txPr>
        <c:crossAx val="333823360"/>
        <c:crosses val="autoZero"/>
        <c:auto val="1"/>
        <c:lblAlgn val="ctr"/>
        <c:lblOffset val="100"/>
        <c:noMultiLvlLbl val="0"/>
      </c:catAx>
      <c:valAx>
        <c:axId val="33382336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333821824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1.7256606365064577E-2"/>
          <c:y val="0.10098735653231798"/>
          <c:w val="0.53557317554803263"/>
          <c:h val="0.1684656214396352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149908090756948E-2"/>
          <c:y val="0.10470191226096738"/>
          <c:w val="0.95317769510742367"/>
          <c:h val="0.8952980877390326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战略性新兴产业上市公司</c:v>
                </c:pt>
              </c:strCache>
            </c:strRef>
          </c:tx>
          <c:marker>
            <c:symbol val="circle"/>
            <c:size val="5"/>
            <c:spPr>
              <a:solidFill>
                <a:schemeClr val="bg1"/>
              </a:solidFill>
            </c:spPr>
          </c:marker>
          <c:dLbls>
            <c:dLbl>
              <c:idx val="0"/>
              <c:layout>
                <c:manualLayout>
                  <c:x val="-5.3522128699429815E-2"/>
                  <c:y val="5.021498717154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1410625395963437E-2"/>
                  <c:y val="7.43307086614173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082135651517172E-2"/>
                  <c:y val="-5.54503299624235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6058490597111377E-2"/>
                  <c:y val="-7.49109486314210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1586004211635507E-2"/>
                  <c:y val="-5.11012844751746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0532044213413346E-2"/>
                  <c:y val="-6.4148420936921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2064408460678326E-2"/>
                  <c:y val="-7.81172665916760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8047965071063688E-2"/>
                  <c:y val="-4.0178571428571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2593818232547875E-2"/>
                  <c:y val="1.48367952522254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1076084987401208E-2"/>
                  <c:y val="-4.61309523809523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2897410888942159E-3"/>
                  <c:y val="-8.7797619047619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5"/>
                <c:pt idx="0">
                  <c:v>2013Q1</c:v>
                </c:pt>
                <c:pt idx="2">
                  <c:v>2013Q3</c:v>
                </c:pt>
                <c:pt idx="4">
                  <c:v>2014Q1</c:v>
                </c:pt>
                <c:pt idx="6">
                  <c:v>2014Q3</c:v>
                </c:pt>
                <c:pt idx="8">
                  <c:v>2015Q1</c:v>
                </c:pt>
                <c:pt idx="10">
                  <c:v>2015Q3</c:v>
                </c:pt>
                <c:pt idx="12">
                  <c:v>2016Q1</c:v>
                </c:pt>
                <c:pt idx="14">
                  <c:v>2016Q3</c:v>
                </c:pt>
              </c:strCache>
            </c:strRef>
          </c:cat>
          <c:val>
            <c:numRef>
              <c:f>Sheet1!$B$2:$B$16</c:f>
              <c:numCache>
                <c:formatCode>0.0%</c:formatCode>
                <c:ptCount val="15"/>
                <c:pt idx="0">
                  <c:v>9.1399439105674052E-2</c:v>
                </c:pt>
                <c:pt idx="1">
                  <c:v>0.1144962689752862</c:v>
                </c:pt>
                <c:pt idx="2">
                  <c:v>0.19588172458833863</c:v>
                </c:pt>
                <c:pt idx="3">
                  <c:v>0.20752312942519402</c:v>
                </c:pt>
                <c:pt idx="4">
                  <c:v>0.23870694145029625</c:v>
                </c:pt>
                <c:pt idx="5">
                  <c:v>0.28775869384698005</c:v>
                </c:pt>
                <c:pt idx="6">
                  <c:v>0.27367162737954454</c:v>
                </c:pt>
                <c:pt idx="7">
                  <c:v>0.28813776807700675</c:v>
                </c:pt>
                <c:pt idx="8">
                  <c:v>0.30153883950531579</c:v>
                </c:pt>
                <c:pt idx="9">
                  <c:v>0.30499546561371993</c:v>
                </c:pt>
                <c:pt idx="10">
                  <c:v>0.25888281952910264</c:v>
                </c:pt>
                <c:pt idx="11">
                  <c:v>0.12729525818595233</c:v>
                </c:pt>
                <c:pt idx="12">
                  <c:v>0.38082647222010779</c:v>
                </c:pt>
                <c:pt idx="13">
                  <c:v>0.26077733650734469</c:v>
                </c:pt>
                <c:pt idx="14">
                  <c:v>0.29673577092509729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上市公司总体</c:v>
                </c:pt>
              </c:strCache>
            </c:strRef>
          </c:tx>
          <c:marker>
            <c:symbol val="circle"/>
            <c:size val="5"/>
            <c:spPr>
              <a:solidFill>
                <a:schemeClr val="bg1"/>
              </a:solidFill>
            </c:spPr>
          </c:marker>
          <c:dLbls>
            <c:dLbl>
              <c:idx val="0"/>
              <c:layout>
                <c:manualLayout>
                  <c:x val="-6.4895827676712828E-2"/>
                  <c:y val="-5.88940989117933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674812200199114E-2"/>
                  <c:y val="-5.61951104426553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6079735617523758E-2"/>
                  <c:y val="5.5992688413948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223425883059065E-2"/>
                  <c:y val="6.29536932883389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9049862277722086E-2"/>
                  <c:y val="4.175079575906698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altLang="en-US"/>
                      <a:t>4.7%</a:t>
                    </a:r>
                  </a:p>
                </c:rich>
              </c:tx>
              <c:numFmt formatCode="0.00%" sourceLinked="0"/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7503938837763798E-2"/>
                  <c:y val="-3.60100299962505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416488404903372E-2"/>
                  <c:y val="-5.3405980502437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3911316221423982E-2"/>
                  <c:y val="-4.61309523809523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1587356193536547E-2"/>
                  <c:y val="-5.20833333333333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986896106466296E-2"/>
                  <c:y val="-3.53800502168454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5456658145480069E-2"/>
                  <c:y val="-4.0178571428571432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rgbClr val="C00000"/>
                      </a:solidFill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3132698117592551E-2"/>
                  <c:y val="-5.2083333333333336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rgbClr val="C00000"/>
                      </a:solidFill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370150105859124E-2"/>
                  <c:y val="-5.80357142857142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5"/>
                <c:pt idx="0">
                  <c:v>2013Q1</c:v>
                </c:pt>
                <c:pt idx="2">
                  <c:v>2013Q3</c:v>
                </c:pt>
                <c:pt idx="4">
                  <c:v>2014Q1</c:v>
                </c:pt>
                <c:pt idx="6">
                  <c:v>2014Q3</c:v>
                </c:pt>
                <c:pt idx="8">
                  <c:v>2015Q1</c:v>
                </c:pt>
                <c:pt idx="10">
                  <c:v>2015Q3</c:v>
                </c:pt>
                <c:pt idx="12">
                  <c:v>2016Q1</c:v>
                </c:pt>
                <c:pt idx="14">
                  <c:v>2016Q3</c:v>
                </c:pt>
              </c:strCache>
            </c:strRef>
          </c:cat>
          <c:val>
            <c:numRef>
              <c:f>Sheet1!$C$2:$C$16</c:f>
              <c:numCache>
                <c:formatCode>0.0%</c:formatCode>
                <c:ptCount val="15"/>
                <c:pt idx="0">
                  <c:v>0.121</c:v>
                </c:pt>
                <c:pt idx="1">
                  <c:v>0.13700000000000001</c:v>
                </c:pt>
                <c:pt idx="2">
                  <c:v>0.16</c:v>
                </c:pt>
                <c:pt idx="3">
                  <c:v>0.14299999999999999</c:v>
                </c:pt>
                <c:pt idx="4">
                  <c:v>9.2999999999999999E-2</c:v>
                </c:pt>
                <c:pt idx="5">
                  <c:v>0.109</c:v>
                </c:pt>
                <c:pt idx="6">
                  <c:v>0.104</c:v>
                </c:pt>
                <c:pt idx="7">
                  <c:v>6.9000000000000006E-2</c:v>
                </c:pt>
                <c:pt idx="8">
                  <c:v>5.3999999999999999E-2</c:v>
                </c:pt>
                <c:pt idx="9">
                  <c:v>0.108</c:v>
                </c:pt>
                <c:pt idx="10">
                  <c:v>3.9E-2</c:v>
                </c:pt>
                <c:pt idx="11">
                  <c:v>2.1999999999999999E-2</c:v>
                </c:pt>
                <c:pt idx="12">
                  <c:v>-4.0000000000000001E-3</c:v>
                </c:pt>
                <c:pt idx="13">
                  <c:v>-3.9E-2</c:v>
                </c:pt>
                <c:pt idx="14">
                  <c:v>2.5999999999999999E-2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3840768"/>
        <c:axId val="333842304"/>
      </c:lineChart>
      <c:catAx>
        <c:axId val="333840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3842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3842304"/>
        <c:scaling>
          <c:orientation val="minMax"/>
          <c:max val="0.5"/>
        </c:scaling>
        <c:delete val="1"/>
        <c:axPos val="l"/>
        <c:majorGridlines>
          <c:spPr>
            <a:ln>
              <a:noFill/>
            </a:ln>
          </c:spPr>
        </c:majorGridlines>
        <c:numFmt formatCode="0.0%" sourceLinked="1"/>
        <c:majorTickMark val="out"/>
        <c:minorTickMark val="none"/>
        <c:tickLblPos val="nextTo"/>
        <c:crossAx val="333840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362621051678885E-2"/>
          <c:y val="3.9983485210416114E-2"/>
          <c:w val="0.79050957304308089"/>
          <c:h val="0.1780558579530972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466666666666667E-2"/>
          <c:y val="1.4187029885090339E-3"/>
          <c:w val="0.95306666666666662"/>
          <c:h val="0.755619297587801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2015Q4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数字创意</c:v>
                </c:pt>
                <c:pt idx="1">
                  <c:v>节能环保</c:v>
                </c:pt>
                <c:pt idx="2">
                  <c:v>新一代
信息技术</c:v>
                </c:pt>
                <c:pt idx="3">
                  <c:v>新能源</c:v>
                </c:pt>
                <c:pt idx="4">
                  <c:v>生物</c:v>
                </c:pt>
                <c:pt idx="5">
                  <c:v>新材料</c:v>
                </c:pt>
                <c:pt idx="6">
                  <c:v>高端装备</c:v>
                </c:pt>
              </c:strCache>
            </c:strRef>
          </c:cat>
          <c:val>
            <c:numRef>
              <c:f>Sheet1!$B$2:$B$8</c:f>
              <c:numCache>
                <c:formatCode>0.0%</c:formatCode>
                <c:ptCount val="7"/>
                <c:pt idx="0">
                  <c:v>0.46730658889252408</c:v>
                </c:pt>
                <c:pt idx="1">
                  <c:v>0.2345764072754577</c:v>
                </c:pt>
                <c:pt idx="2">
                  <c:v>0.20388932297276297</c:v>
                </c:pt>
                <c:pt idx="3">
                  <c:v>0.25246604629801239</c:v>
                </c:pt>
                <c:pt idx="4">
                  <c:v>0.13977991690687364</c:v>
                </c:pt>
                <c:pt idx="5">
                  <c:v>3.4144062943541886E-3</c:v>
                </c:pt>
                <c:pt idx="6">
                  <c:v>4.3783087214113614E-2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2016Q1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数字创意</c:v>
                </c:pt>
                <c:pt idx="1">
                  <c:v>节能环保</c:v>
                </c:pt>
                <c:pt idx="2">
                  <c:v>新一代
信息技术</c:v>
                </c:pt>
                <c:pt idx="3">
                  <c:v>新能源</c:v>
                </c:pt>
                <c:pt idx="4">
                  <c:v>生物</c:v>
                </c:pt>
                <c:pt idx="5">
                  <c:v>新材料</c:v>
                </c:pt>
                <c:pt idx="6">
                  <c:v>高端装备</c:v>
                </c:pt>
              </c:strCache>
            </c:strRef>
          </c:cat>
          <c:val>
            <c:numRef>
              <c:f>Sheet1!$C$2:$C$8</c:f>
              <c:numCache>
                <c:formatCode>0.0%</c:formatCode>
                <c:ptCount val="7"/>
                <c:pt idx="0">
                  <c:v>0.56493372789365726</c:v>
                </c:pt>
                <c:pt idx="1">
                  <c:v>0.20743440541820823</c:v>
                </c:pt>
                <c:pt idx="2">
                  <c:v>0.21313365181070809</c:v>
                </c:pt>
                <c:pt idx="3">
                  <c:v>0.32919076555274684</c:v>
                </c:pt>
                <c:pt idx="4">
                  <c:v>0.12070864969094819</c:v>
                </c:pt>
                <c:pt idx="5">
                  <c:v>3.2163338855950574E-2</c:v>
                </c:pt>
                <c:pt idx="6">
                  <c:v>1.0192312075589793E-2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2016Q2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数字创意</c:v>
                </c:pt>
                <c:pt idx="1">
                  <c:v>节能环保</c:v>
                </c:pt>
                <c:pt idx="2">
                  <c:v>新一代
信息技术</c:v>
                </c:pt>
                <c:pt idx="3">
                  <c:v>新能源</c:v>
                </c:pt>
                <c:pt idx="4">
                  <c:v>生物</c:v>
                </c:pt>
                <c:pt idx="5">
                  <c:v>新材料</c:v>
                </c:pt>
                <c:pt idx="6">
                  <c:v>高端装备</c:v>
                </c:pt>
              </c:strCache>
            </c:strRef>
          </c:cat>
          <c:val>
            <c:numRef>
              <c:f>Sheet1!$D$2:$D$8</c:f>
              <c:numCache>
                <c:formatCode>0.0%</c:formatCode>
                <c:ptCount val="7"/>
                <c:pt idx="0">
                  <c:v>0.36847845147343161</c:v>
                </c:pt>
                <c:pt idx="1">
                  <c:v>0.27076227985310131</c:v>
                </c:pt>
                <c:pt idx="2">
                  <c:v>0.22765857283162294</c:v>
                </c:pt>
                <c:pt idx="3">
                  <c:v>0.30050925207705226</c:v>
                </c:pt>
                <c:pt idx="4">
                  <c:v>0.13465462195317346</c:v>
                </c:pt>
                <c:pt idx="5">
                  <c:v>6.7289018269426792E-2</c:v>
                </c:pt>
                <c:pt idx="6">
                  <c:v>1.2175359168013822E-2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2016Q3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1.0666666666666666E-2"/>
                  <c:y val="5.35475234270405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数字创意</c:v>
                </c:pt>
                <c:pt idx="1">
                  <c:v>节能环保</c:v>
                </c:pt>
                <c:pt idx="2">
                  <c:v>新一代
信息技术</c:v>
                </c:pt>
                <c:pt idx="3">
                  <c:v>新能源</c:v>
                </c:pt>
                <c:pt idx="4">
                  <c:v>生物</c:v>
                </c:pt>
                <c:pt idx="5">
                  <c:v>新材料</c:v>
                </c:pt>
                <c:pt idx="6">
                  <c:v>高端装备</c:v>
                </c:pt>
              </c:strCache>
            </c:strRef>
          </c:cat>
          <c:val>
            <c:numRef>
              <c:f>Sheet1!$E$2:$E$8</c:f>
              <c:numCache>
                <c:formatCode>0.0%</c:formatCode>
                <c:ptCount val="7"/>
                <c:pt idx="0">
                  <c:v>0.39626239247215889</c:v>
                </c:pt>
                <c:pt idx="1">
                  <c:v>0.30228289650033457</c:v>
                </c:pt>
                <c:pt idx="2">
                  <c:v>0.23093356888834493</c:v>
                </c:pt>
                <c:pt idx="3">
                  <c:v>0.1905657988350089</c:v>
                </c:pt>
                <c:pt idx="4">
                  <c:v>0.12825771229533944</c:v>
                </c:pt>
                <c:pt idx="5">
                  <c:v>0.11613043899347675</c:v>
                </c:pt>
                <c:pt idx="6">
                  <c:v>2.1665830216858861E-2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3882112"/>
        <c:axId val="333883648"/>
      </c:barChart>
      <c:catAx>
        <c:axId val="33388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33883648"/>
        <c:crosses val="autoZero"/>
        <c:auto val="1"/>
        <c:lblAlgn val="ctr"/>
        <c:lblOffset val="100"/>
        <c:noMultiLvlLbl val="0"/>
      </c:catAx>
      <c:valAx>
        <c:axId val="333883648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333882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7657822755948052"/>
          <c:y val="0.13805374871619308"/>
          <c:w val="0.39671365879265091"/>
          <c:h val="9.03620782341966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1"/>
          <c:h val="0.98773047351889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2015Q3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strRef>
              <c:f>Sheet1!$A$2:$A$6</c:f>
              <c:strCache>
                <c:ptCount val="5"/>
                <c:pt idx="0">
                  <c:v>中部</c:v>
                </c:pt>
                <c:pt idx="1">
                  <c:v>东部</c:v>
                </c:pt>
                <c:pt idx="2">
                  <c:v>西部</c:v>
                </c:pt>
                <c:pt idx="3">
                  <c:v>东北</c:v>
                </c:pt>
                <c:pt idx="4">
                  <c:v>全国</c:v>
                </c:pt>
              </c:strCache>
            </c:strRef>
          </c:cat>
          <c:val>
            <c:numRef>
              <c:f>Sheet1!$B$2:$B$6</c:f>
              <c:numCache>
                <c:formatCode>0.0%</c:formatCode>
                <c:ptCount val="5"/>
                <c:pt idx="0">
                  <c:v>0.30860437170685873</c:v>
                </c:pt>
                <c:pt idx="1">
                  <c:v>0.1594241327832826</c:v>
                </c:pt>
                <c:pt idx="2">
                  <c:v>0.17691015234972896</c:v>
                </c:pt>
                <c:pt idx="3">
                  <c:v>3.9998208769930432E-2</c:v>
                </c:pt>
                <c:pt idx="4">
                  <c:v>0.16774663227452957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2015Q4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strRef>
              <c:f>Sheet1!$A$2:$A$6</c:f>
              <c:strCache>
                <c:ptCount val="5"/>
                <c:pt idx="0">
                  <c:v>中部</c:v>
                </c:pt>
                <c:pt idx="1">
                  <c:v>东部</c:v>
                </c:pt>
                <c:pt idx="2">
                  <c:v>西部</c:v>
                </c:pt>
                <c:pt idx="3">
                  <c:v>东北</c:v>
                </c:pt>
                <c:pt idx="4">
                  <c:v>全国</c:v>
                </c:pt>
              </c:strCache>
            </c:strRef>
          </c:cat>
          <c:val>
            <c:numRef>
              <c:f>Sheet1!$C$2:$C$6</c:f>
              <c:numCache>
                <c:formatCode>0.0%</c:formatCode>
                <c:ptCount val="5"/>
                <c:pt idx="0">
                  <c:v>0.15474822700276025</c:v>
                </c:pt>
                <c:pt idx="1">
                  <c:v>0.1692008128010789</c:v>
                </c:pt>
                <c:pt idx="2">
                  <c:v>0.18655964894196564</c:v>
                </c:pt>
                <c:pt idx="3">
                  <c:v>1.0349407565552138E-2</c:v>
                </c:pt>
                <c:pt idx="4">
                  <c:v>0.16376603386674082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2016Q1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中部</c:v>
                </c:pt>
                <c:pt idx="1">
                  <c:v>东部</c:v>
                </c:pt>
                <c:pt idx="2">
                  <c:v>西部</c:v>
                </c:pt>
                <c:pt idx="3">
                  <c:v>东北</c:v>
                </c:pt>
                <c:pt idx="4">
                  <c:v>全国</c:v>
                </c:pt>
              </c:strCache>
            </c:strRef>
          </c:cat>
          <c:val>
            <c:numRef>
              <c:f>Sheet1!$D$2:$D$6</c:f>
              <c:numCache>
                <c:formatCode>0.0%</c:formatCode>
                <c:ptCount val="5"/>
                <c:pt idx="0">
                  <c:v>0.1854051624046793</c:v>
                </c:pt>
                <c:pt idx="1">
                  <c:v>0.1764647369160679</c:v>
                </c:pt>
                <c:pt idx="2">
                  <c:v>0.14682221378688154</c:v>
                </c:pt>
                <c:pt idx="3">
                  <c:v>-2.8121268079057016E-2</c:v>
                </c:pt>
                <c:pt idx="4">
                  <c:v>0.16637298655233157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2016Q2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中部</c:v>
                </c:pt>
                <c:pt idx="1">
                  <c:v>东部</c:v>
                </c:pt>
                <c:pt idx="2">
                  <c:v>西部</c:v>
                </c:pt>
                <c:pt idx="3">
                  <c:v>东北</c:v>
                </c:pt>
                <c:pt idx="4">
                  <c:v>全国</c:v>
                </c:pt>
              </c:strCache>
            </c:strRef>
          </c:cat>
          <c:val>
            <c:numRef>
              <c:f>Sheet1!$E$2:$E$6</c:f>
              <c:numCache>
                <c:formatCode>0.0%</c:formatCode>
                <c:ptCount val="5"/>
                <c:pt idx="0">
                  <c:v>0.17599751352607296</c:v>
                </c:pt>
                <c:pt idx="1">
                  <c:v>0.18330867380221827</c:v>
                </c:pt>
                <c:pt idx="2">
                  <c:v>0.14526546582170496</c:v>
                </c:pt>
                <c:pt idx="3">
                  <c:v>-1.2939518605739275E-2</c:v>
                </c:pt>
                <c:pt idx="4">
                  <c:v>0.17164957837530381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2016Q3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4897579143389154E-2"/>
                  <c:y val="-5.83671491485157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380509000620731E-2"/>
                  <c:y val="-6.419160205724366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4487895716945085E-3"/>
                  <c:y val="3.05823904364895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4907873410225596E-3"/>
                  <c:y val="1.7694408259085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中部</c:v>
                </c:pt>
                <c:pt idx="1">
                  <c:v>东部</c:v>
                </c:pt>
                <c:pt idx="2">
                  <c:v>西部</c:v>
                </c:pt>
                <c:pt idx="3">
                  <c:v>东北</c:v>
                </c:pt>
                <c:pt idx="4">
                  <c:v>全国</c:v>
                </c:pt>
              </c:strCache>
            </c:strRef>
          </c:cat>
          <c:val>
            <c:numRef>
              <c:f>Sheet1!$F$2:$F$6</c:f>
              <c:numCache>
                <c:formatCode>0.0%</c:formatCode>
                <c:ptCount val="5"/>
                <c:pt idx="0">
                  <c:v>0.20956768277353732</c:v>
                </c:pt>
                <c:pt idx="1">
                  <c:v>0.19412490348451072</c:v>
                </c:pt>
                <c:pt idx="2">
                  <c:v>0.1165798418047288</c:v>
                </c:pt>
                <c:pt idx="3">
                  <c:v>2.0917853823739119E-2</c:v>
                </c:pt>
                <c:pt idx="4">
                  <c:v>0.18192666195047025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6463744"/>
        <c:axId val="336465280"/>
      </c:barChart>
      <c:catAx>
        <c:axId val="336463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zh-CN"/>
          </a:p>
        </c:txPr>
        <c:crossAx val="336465280"/>
        <c:crosses val="autoZero"/>
        <c:auto val="1"/>
        <c:lblAlgn val="ctr"/>
        <c:lblOffset val="100"/>
        <c:noMultiLvlLbl val="0"/>
      </c:catAx>
      <c:valAx>
        <c:axId val="336465280"/>
        <c:scaling>
          <c:orientation val="minMax"/>
          <c:max val="0.4"/>
        </c:scaling>
        <c:delete val="0"/>
        <c:axPos val="l"/>
        <c:majorGridlines>
          <c:spPr>
            <a:ln>
              <a:noFill/>
            </a:ln>
          </c:spPr>
        </c:majorGridlines>
        <c:numFmt formatCode="0.0%" sourceLinked="1"/>
        <c:majorTickMark val="none"/>
        <c:minorTickMark val="none"/>
        <c:tickLblPos val="none"/>
        <c:spPr>
          <a:ln>
            <a:noFill/>
          </a:ln>
        </c:spPr>
        <c:crossAx val="336463744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14583928405597343"/>
          <c:y val="6.8282273539336982E-2"/>
          <c:w val="0.67097416133596743"/>
          <c:h val="0.10799820272934356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4170475194097243E-2"/>
          <c:y val="0.16841994750656167"/>
          <c:w val="0.84670557788668022"/>
          <c:h val="0.554898255365138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民企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8.062945155601447E-17"/>
                  <c:y val="0.1261090010807472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8.062945155601447E-17"/>
                  <c:y val="0.11643847460243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1990104452994539E-3"/>
                  <c:y val="0.1180268642890226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Sheet2!$A$2:$A$8</c:f>
              <c:strCache>
                <c:ptCount val="7"/>
                <c:pt idx="0">
                  <c:v>新一代
信息技术</c:v>
                </c:pt>
                <c:pt idx="1">
                  <c:v>生物</c:v>
                </c:pt>
                <c:pt idx="2">
                  <c:v>节能环保</c:v>
                </c:pt>
                <c:pt idx="3">
                  <c:v>高端装备</c:v>
                </c:pt>
                <c:pt idx="4">
                  <c:v>新材料</c:v>
                </c:pt>
                <c:pt idx="5">
                  <c:v>新能源</c:v>
                </c:pt>
                <c:pt idx="6">
                  <c:v>数字创意</c:v>
                </c:pt>
              </c:strCache>
            </c:strRef>
          </c:cat>
          <c:val>
            <c:numRef>
              <c:f>Sheet2!$B$2:$B$8</c:f>
              <c:numCache>
                <c:formatCode>General</c:formatCode>
                <c:ptCount val="7"/>
                <c:pt idx="0">
                  <c:v>276</c:v>
                </c:pt>
                <c:pt idx="1">
                  <c:v>181</c:v>
                </c:pt>
                <c:pt idx="2">
                  <c:v>80</c:v>
                </c:pt>
                <c:pt idx="3">
                  <c:v>55</c:v>
                </c:pt>
                <c:pt idx="4">
                  <c:v>50</c:v>
                </c:pt>
                <c:pt idx="5">
                  <c:v>45</c:v>
                </c:pt>
                <c:pt idx="6">
                  <c:v>41</c:v>
                </c:pt>
              </c:numCache>
            </c:numRef>
          </c:val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总数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Sheet2!$A$2:$A$8</c:f>
              <c:strCache>
                <c:ptCount val="7"/>
                <c:pt idx="0">
                  <c:v>新一代
信息技术</c:v>
                </c:pt>
                <c:pt idx="1">
                  <c:v>生物</c:v>
                </c:pt>
                <c:pt idx="2">
                  <c:v>节能环保</c:v>
                </c:pt>
                <c:pt idx="3">
                  <c:v>高端装备</c:v>
                </c:pt>
                <c:pt idx="4">
                  <c:v>新材料</c:v>
                </c:pt>
                <c:pt idx="5">
                  <c:v>新能源</c:v>
                </c:pt>
                <c:pt idx="6">
                  <c:v>数字创意</c:v>
                </c:pt>
              </c:strCache>
            </c:strRef>
          </c:cat>
          <c:val>
            <c:numRef>
              <c:f>Sheet2!$C$2:$C$8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7"/>
        <c:axId val="336374784"/>
        <c:axId val="336741120"/>
      </c:barChart>
      <c:lineChart>
        <c:grouping val="standard"/>
        <c:varyColors val="0"/>
        <c:ser>
          <c:idx val="2"/>
          <c:order val="2"/>
          <c:tx>
            <c:strRef>
              <c:f>Sheet2!$D$1</c:f>
              <c:strCache>
                <c:ptCount val="1"/>
                <c:pt idx="0">
                  <c:v>占比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C0000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Sheet2!$A$2:$A$8</c:f>
              <c:strCache>
                <c:ptCount val="7"/>
                <c:pt idx="0">
                  <c:v>新一代
信息技术</c:v>
                </c:pt>
                <c:pt idx="1">
                  <c:v>生物</c:v>
                </c:pt>
                <c:pt idx="2">
                  <c:v>节能环保</c:v>
                </c:pt>
                <c:pt idx="3">
                  <c:v>高端装备</c:v>
                </c:pt>
                <c:pt idx="4">
                  <c:v>新材料</c:v>
                </c:pt>
                <c:pt idx="5">
                  <c:v>新能源</c:v>
                </c:pt>
                <c:pt idx="6">
                  <c:v>数字创意</c:v>
                </c:pt>
              </c:strCache>
            </c:strRef>
          </c:cat>
          <c:val>
            <c:numRef>
              <c:f>Sheet2!$D$2:$D$8</c:f>
              <c:numCache>
                <c:formatCode>0.0%</c:formatCode>
                <c:ptCount val="7"/>
                <c:pt idx="0">
                  <c:v>0.66506024096385541</c:v>
                </c:pt>
                <c:pt idx="1">
                  <c:v>0.70155038759689925</c:v>
                </c:pt>
                <c:pt idx="2">
                  <c:v>0.68376068376068377</c:v>
                </c:pt>
                <c:pt idx="3">
                  <c:v>0.57291666666666663</c:v>
                </c:pt>
                <c:pt idx="4">
                  <c:v>0.6097560975609756</c:v>
                </c:pt>
                <c:pt idx="5">
                  <c:v>0.66176470588235292</c:v>
                </c:pt>
                <c:pt idx="6">
                  <c:v>0.65079365079365081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6748544"/>
        <c:axId val="336742656"/>
      </c:lineChart>
      <c:catAx>
        <c:axId val="336374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36741120"/>
        <c:crosses val="autoZero"/>
        <c:auto val="1"/>
        <c:lblAlgn val="ctr"/>
        <c:lblOffset val="100"/>
        <c:noMultiLvlLbl val="0"/>
      </c:catAx>
      <c:valAx>
        <c:axId val="336741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36374784"/>
        <c:crosses val="autoZero"/>
        <c:crossBetween val="between"/>
      </c:valAx>
      <c:valAx>
        <c:axId val="336742656"/>
        <c:scaling>
          <c:orientation val="minMax"/>
        </c:scaling>
        <c:delete val="0"/>
        <c:axPos val="r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36748544"/>
        <c:crosses val="max"/>
        <c:crossBetween val="between"/>
      </c:valAx>
      <c:catAx>
        <c:axId val="3367485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367426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6456876456876468"/>
          <c:y val="4.945574696563944E-3"/>
          <c:w val="0.23496503496503496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zh-CN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149908090756948E-2"/>
          <c:y val="0.10470191226096738"/>
          <c:w val="0.95317769510742367"/>
          <c:h val="0.8952980877390326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民营企业</c:v>
                </c:pt>
              </c:strCache>
            </c:strRef>
          </c:tx>
          <c:marker>
            <c:symbol val="circle"/>
            <c:size val="5"/>
            <c:spPr>
              <a:solidFill>
                <a:schemeClr val="bg1"/>
              </a:solidFill>
            </c:spPr>
          </c:marker>
          <c:dLbls>
            <c:dLbl>
              <c:idx val="0"/>
              <c:layout>
                <c:manualLayout>
                  <c:x val="-6.0418680423567746E-2"/>
                  <c:y val="-7.71258367984900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2904878269526676E-2"/>
                  <c:y val="-7.5482025420979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082135651517172E-2"/>
                  <c:y val="-5.54503299624235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6058490597111377E-2"/>
                  <c:y val="-7.49109486314210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1586004211635507E-2"/>
                  <c:y val="-5.11012844751746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0532044213413346E-2"/>
                  <c:y val="-6.4148420936921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2064408460678326E-2"/>
                  <c:y val="-7.81172665916760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8047965071063688E-2"/>
                  <c:y val="-4.0178571428571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2593818232547875E-2"/>
                  <c:y val="1.48367952522254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1076084987401208E-2"/>
                  <c:y val="-4.61309523809523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2897410888942159E-3"/>
                  <c:y val="-8.7797619047619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2015Q1</c:v>
                </c:pt>
                <c:pt idx="1">
                  <c:v>2015Q2</c:v>
                </c:pt>
                <c:pt idx="2">
                  <c:v>2015Q3</c:v>
                </c:pt>
                <c:pt idx="3">
                  <c:v>2015Q4</c:v>
                </c:pt>
                <c:pt idx="4">
                  <c:v>2016Q1</c:v>
                </c:pt>
                <c:pt idx="5">
                  <c:v>2016Q2</c:v>
                </c:pt>
                <c:pt idx="6">
                  <c:v>2016Q3</c:v>
                </c:pt>
              </c:strCache>
            </c:strRef>
          </c:cat>
          <c:val>
            <c:numRef>
              <c:f>Sheet1!$B$2:$B$8</c:f>
              <c:numCache>
                <c:formatCode>0.0%</c:formatCode>
                <c:ptCount val="7"/>
                <c:pt idx="0">
                  <c:v>0.27468605490700404</c:v>
                </c:pt>
                <c:pt idx="1">
                  <c:v>0.25253026519924648</c:v>
                </c:pt>
                <c:pt idx="2">
                  <c:v>0.30628596641010208</c:v>
                </c:pt>
                <c:pt idx="3">
                  <c:v>0.2670032595777907</c:v>
                </c:pt>
                <c:pt idx="4">
                  <c:v>0.30479795348905747</c:v>
                </c:pt>
                <c:pt idx="5">
                  <c:v>0.31830617363105151</c:v>
                </c:pt>
                <c:pt idx="6">
                  <c:v>0.31395045516842734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国有企业</c:v>
                </c:pt>
              </c:strCache>
            </c:strRef>
          </c:tx>
          <c:marker>
            <c:symbol val="circle"/>
            <c:size val="5"/>
            <c:spPr>
              <a:solidFill>
                <a:schemeClr val="bg1"/>
              </a:solidFill>
            </c:spPr>
          </c:marker>
          <c:dLbls>
            <c:dLbl>
              <c:idx val="0"/>
              <c:layout>
                <c:manualLayout>
                  <c:x val="-6.4895827676712828E-2"/>
                  <c:y val="-5.88940989117933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674812200199114E-2"/>
                  <c:y val="-5.61951104426553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6079735617523758E-2"/>
                  <c:y val="5.5992688413948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223425883059065E-2"/>
                  <c:y val="6.29536932883389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9049862277722086E-2"/>
                  <c:y val="4.175079575906698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altLang="en-US"/>
                      <a:t>4.7%</a:t>
                    </a:r>
                  </a:p>
                </c:rich>
              </c:tx>
              <c:numFmt formatCode="0.00%" sourceLinked="0"/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7503938837763798E-2"/>
                  <c:y val="-3.60100299962505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416488404903372E-2"/>
                  <c:y val="-5.3405980502437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3911316221423982E-2"/>
                  <c:y val="-4.61309523809523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1587356193536547E-2"/>
                  <c:y val="-5.20833333333333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986896106466296E-2"/>
                  <c:y val="-3.53800502168454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5456658145480069E-2"/>
                  <c:y val="-4.0178571428571432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rgbClr val="C00000"/>
                      </a:solidFill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3132698117592551E-2"/>
                  <c:y val="-5.2083333333333336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rgbClr val="C00000"/>
                      </a:solidFill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370150105859124E-2"/>
                  <c:y val="-5.80357142857142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2015Q1</c:v>
                </c:pt>
                <c:pt idx="1">
                  <c:v>2015Q2</c:v>
                </c:pt>
                <c:pt idx="2">
                  <c:v>2015Q3</c:v>
                </c:pt>
                <c:pt idx="3">
                  <c:v>2015Q4</c:v>
                </c:pt>
                <c:pt idx="4">
                  <c:v>2016Q1</c:v>
                </c:pt>
                <c:pt idx="5">
                  <c:v>2016Q2</c:v>
                </c:pt>
                <c:pt idx="6">
                  <c:v>2016Q3</c:v>
                </c:pt>
              </c:strCache>
            </c:strRef>
          </c:cat>
          <c:val>
            <c:numRef>
              <c:f>Sheet1!$C$2:$C$8</c:f>
              <c:numCache>
                <c:formatCode>0.0%</c:formatCode>
                <c:ptCount val="7"/>
                <c:pt idx="0">
                  <c:v>0.1393576410245827</c:v>
                </c:pt>
                <c:pt idx="1">
                  <c:v>0.10406260767364017</c:v>
                </c:pt>
                <c:pt idx="2">
                  <c:v>8.4803842713829569E-2</c:v>
                </c:pt>
                <c:pt idx="3">
                  <c:v>8.0642491201590838E-2</c:v>
                </c:pt>
                <c:pt idx="4">
                  <c:v>6.9509994769115568E-2</c:v>
                </c:pt>
                <c:pt idx="5">
                  <c:v>6.8038965542963847E-2</c:v>
                </c:pt>
                <c:pt idx="6">
                  <c:v>8.1828370137403406E-2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6902784"/>
        <c:axId val="337097088"/>
      </c:lineChart>
      <c:catAx>
        <c:axId val="336902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7097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7097088"/>
        <c:scaling>
          <c:orientation val="minMax"/>
          <c:max val="0.5"/>
        </c:scaling>
        <c:delete val="1"/>
        <c:axPos val="l"/>
        <c:majorGridlines>
          <c:spPr>
            <a:ln>
              <a:noFill/>
            </a:ln>
          </c:spPr>
        </c:majorGridlines>
        <c:numFmt formatCode="0.0%" sourceLinked="1"/>
        <c:majorTickMark val="out"/>
        <c:minorTickMark val="none"/>
        <c:tickLblPos val="nextTo"/>
        <c:crossAx val="336902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362621051678885E-2"/>
          <c:y val="3.9983485210416114E-2"/>
          <c:w val="0.79050957304308089"/>
          <c:h val="0.1780558579530972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25925925925925924"/>
          <c:w val="0.93888888888888888"/>
          <c:h val="0.69378244386118404"/>
        </c:manualLayout>
      </c:layout>
      <c:lineChart>
        <c:grouping val="standard"/>
        <c:varyColors val="0"/>
        <c:ser>
          <c:idx val="0"/>
          <c:order val="0"/>
          <c:tx>
            <c:strRef>
              <c:f>'Final data'!$A$21</c:f>
              <c:strCache>
                <c:ptCount val="1"/>
                <c:pt idx="0">
                  <c:v>国有企业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389916808102179E-2"/>
                  <c:y val="-5.44392287502524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6389916808102165E-2"/>
                  <c:y val="-5.44392287502523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fld id="{81A84F90-5EA5-429A-B9B8-EE5718766A41}" type="VALUE">
                      <a:rPr lang="en-US" altLang="zh-CN">
                        <a:solidFill>
                          <a:srgbClr val="FF0000"/>
                        </a:solidFill>
                      </a:rPr>
                      <a:pPr/>
                      <a:t>[值]</a:t>
                    </a:fld>
                    <a:endParaRPr lang="zh-CN" altLang="en-US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'Final data'!$B$20:$H$20</c:f>
              <c:strCache>
                <c:ptCount val="7"/>
                <c:pt idx="0">
                  <c:v>2015Q1</c:v>
                </c:pt>
                <c:pt idx="1">
                  <c:v>2015Q2</c:v>
                </c:pt>
                <c:pt idx="2">
                  <c:v>2015Q3</c:v>
                </c:pt>
                <c:pt idx="3">
                  <c:v>2015Q4</c:v>
                </c:pt>
                <c:pt idx="4">
                  <c:v>2016Q1</c:v>
                </c:pt>
                <c:pt idx="5">
                  <c:v>2016Q2</c:v>
                </c:pt>
                <c:pt idx="6">
                  <c:v>2016Q3</c:v>
                </c:pt>
              </c:strCache>
            </c:strRef>
          </c:cat>
          <c:val>
            <c:numRef>
              <c:f>'Final data'!$B$21:$H$21</c:f>
              <c:numCache>
                <c:formatCode>0.0%</c:formatCode>
                <c:ptCount val="7"/>
                <c:pt idx="0">
                  <c:v>0.24181762556237896</c:v>
                </c:pt>
                <c:pt idx="1">
                  <c:v>0.23445585504098609</c:v>
                </c:pt>
                <c:pt idx="2">
                  <c:v>8.6721916450982484E-2</c:v>
                </c:pt>
                <c:pt idx="3">
                  <c:v>-6.1371528878643167E-3</c:v>
                </c:pt>
                <c:pt idx="4">
                  <c:v>0.46131330233085577</c:v>
                </c:pt>
                <c:pt idx="5">
                  <c:v>0.13028119269861294</c:v>
                </c:pt>
                <c:pt idx="6">
                  <c:v>0.17772215658071766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'Final data'!$A$22</c:f>
              <c:strCache>
                <c:ptCount val="1"/>
                <c:pt idx="0">
                  <c:v>民营企业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4.3853734962786745E-2"/>
                  <c:y val="-4.9099080504845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690959128939756E-2"/>
                  <c:y val="-4.34350522698424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'Final data'!$B$20:$H$20</c:f>
              <c:strCache>
                <c:ptCount val="7"/>
                <c:pt idx="0">
                  <c:v>2015Q1</c:v>
                </c:pt>
                <c:pt idx="1">
                  <c:v>2015Q2</c:v>
                </c:pt>
                <c:pt idx="2">
                  <c:v>2015Q3</c:v>
                </c:pt>
                <c:pt idx="3">
                  <c:v>2015Q4</c:v>
                </c:pt>
                <c:pt idx="4">
                  <c:v>2016Q1</c:v>
                </c:pt>
                <c:pt idx="5">
                  <c:v>2016Q2</c:v>
                </c:pt>
                <c:pt idx="6">
                  <c:v>2016Q3</c:v>
                </c:pt>
              </c:strCache>
            </c:strRef>
          </c:cat>
          <c:val>
            <c:numRef>
              <c:f>'Final data'!$B$22:$H$22</c:f>
              <c:numCache>
                <c:formatCode>0.0%</c:formatCode>
                <c:ptCount val="7"/>
                <c:pt idx="0">
                  <c:v>0.34459491634928296</c:v>
                </c:pt>
                <c:pt idx="1">
                  <c:v>0.3215617265905919</c:v>
                </c:pt>
                <c:pt idx="2">
                  <c:v>0.38724523250453435</c:v>
                </c:pt>
                <c:pt idx="3">
                  <c:v>0.27112331247931576</c:v>
                </c:pt>
                <c:pt idx="4">
                  <c:v>0.34840274794750226</c:v>
                </c:pt>
                <c:pt idx="5">
                  <c:v>0.33037055462254661</c:v>
                </c:pt>
                <c:pt idx="6">
                  <c:v>0.33320291858733975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9442304"/>
        <c:axId val="339448192"/>
      </c:lineChart>
      <c:catAx>
        <c:axId val="339442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39448192"/>
        <c:crosses val="autoZero"/>
        <c:auto val="1"/>
        <c:lblAlgn val="ctr"/>
        <c:lblOffset val="100"/>
        <c:noMultiLvlLbl val="0"/>
      </c:catAx>
      <c:valAx>
        <c:axId val="339448192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33944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8888966821470003E-2"/>
          <c:y val="0.13623646814790349"/>
          <c:w val="0.4"/>
          <c:h val="9.7826771653543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7.7048522780806261E-2"/>
          <c:w val="0.94270833333333381"/>
          <c:h val="0.753367036017049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增发募资额</c:v>
                </c:pt>
              </c:strCache>
            </c:strRef>
          </c:tx>
          <c:spPr>
            <a:solidFill>
              <a:srgbClr val="4F81BD"/>
            </a:solidFill>
          </c:spPr>
          <c:invertIfNegative val="0"/>
          <c:dLbls>
            <c:dLbl>
              <c:idx val="1"/>
              <c:layout>
                <c:manualLayout>
                  <c:x val="-2.3871252015037487E-17"/>
                  <c:y val="4.3010752688171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2015Q1</c:v>
                </c:pt>
                <c:pt idx="1">
                  <c:v>2015Q2</c:v>
                </c:pt>
                <c:pt idx="2">
                  <c:v>2015Q3</c:v>
                </c:pt>
                <c:pt idx="3">
                  <c:v>2015Q4</c:v>
                </c:pt>
                <c:pt idx="4">
                  <c:v>2016Q1</c:v>
                </c:pt>
                <c:pt idx="5">
                  <c:v>2016Q2</c:v>
                </c:pt>
                <c:pt idx="6">
                  <c:v>2016Q3</c:v>
                </c:pt>
              </c:strCache>
            </c:strRef>
          </c:cat>
          <c:val>
            <c:numRef>
              <c:f>Sheet1!$B$2:$B$8</c:f>
              <c:numCache>
                <c:formatCode>0.0</c:formatCode>
                <c:ptCount val="7"/>
                <c:pt idx="0">
                  <c:v>528.4</c:v>
                </c:pt>
                <c:pt idx="1">
                  <c:v>542.76</c:v>
                </c:pt>
                <c:pt idx="2">
                  <c:v>649.70000000000005</c:v>
                </c:pt>
                <c:pt idx="3">
                  <c:v>1612.9</c:v>
                </c:pt>
                <c:pt idx="4">
                  <c:v>868.9</c:v>
                </c:pt>
                <c:pt idx="5">
                  <c:v>1335.2</c:v>
                </c:pt>
                <c:pt idx="6">
                  <c:v>1195.99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2"/>
        <c:axId val="339628416"/>
        <c:axId val="339629952"/>
      </c:barChart>
      <c:catAx>
        <c:axId val="339628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zh-CN"/>
          </a:p>
        </c:txPr>
        <c:crossAx val="339629952"/>
        <c:crosses val="autoZero"/>
        <c:auto val="1"/>
        <c:lblAlgn val="ctr"/>
        <c:lblOffset val="100"/>
        <c:noMultiLvlLbl val="0"/>
      </c:catAx>
      <c:valAx>
        <c:axId val="339629952"/>
        <c:scaling>
          <c:orientation val="minMax"/>
          <c:max val="2000"/>
        </c:scaling>
        <c:delete val="1"/>
        <c:axPos val="l"/>
        <c:numFmt formatCode="0.0" sourceLinked="1"/>
        <c:majorTickMark val="out"/>
        <c:minorTickMark val="none"/>
        <c:tickLblPos val="nextTo"/>
        <c:crossAx val="3396284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04179557656472E-2"/>
          <c:y val="3.6986664545719666E-2"/>
          <c:w val="0.90444459198080851"/>
          <c:h val="0.756863649619555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分领域!$C$1</c:f>
              <c:strCache>
                <c:ptCount val="1"/>
                <c:pt idx="0">
                  <c:v>增发募集总额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6"/>
              <c:layout>
                <c:manualLayout>
                  <c:x val="0"/>
                  <c:y val="9.67668327173389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分领域!$A$2:$A$8</c:f>
              <c:strCache>
                <c:ptCount val="7"/>
                <c:pt idx="0">
                  <c:v>新一代
信息技术</c:v>
                </c:pt>
                <c:pt idx="1">
                  <c:v>生物</c:v>
                </c:pt>
                <c:pt idx="2">
                  <c:v>新能源</c:v>
                </c:pt>
                <c:pt idx="3">
                  <c:v>数字创意</c:v>
                </c:pt>
                <c:pt idx="4">
                  <c:v>高端装备制造</c:v>
                </c:pt>
                <c:pt idx="5">
                  <c:v>节能环保</c:v>
                </c:pt>
                <c:pt idx="6">
                  <c:v>新材料</c:v>
                </c:pt>
              </c:strCache>
            </c:strRef>
          </c:cat>
          <c:val>
            <c:numRef>
              <c:f>分领域!$C$2:$C$8</c:f>
              <c:numCache>
                <c:formatCode>General</c:formatCode>
                <c:ptCount val="7"/>
                <c:pt idx="0">
                  <c:v>443.63</c:v>
                </c:pt>
                <c:pt idx="1">
                  <c:v>281.16000000000003</c:v>
                </c:pt>
                <c:pt idx="2">
                  <c:v>164.46</c:v>
                </c:pt>
                <c:pt idx="3">
                  <c:v>85.07</c:v>
                </c:pt>
                <c:pt idx="4">
                  <c:v>82.84</c:v>
                </c:pt>
                <c:pt idx="5">
                  <c:v>78.14</c:v>
                </c:pt>
                <c:pt idx="6">
                  <c:v>51.35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1334272"/>
        <c:axId val="341332736"/>
      </c:barChart>
      <c:lineChart>
        <c:grouping val="standard"/>
        <c:varyColors val="0"/>
        <c:ser>
          <c:idx val="0"/>
          <c:order val="0"/>
          <c:tx>
            <c:strRef>
              <c:f>分领域!$B$1</c:f>
              <c:strCache>
                <c:ptCount val="1"/>
                <c:pt idx="0">
                  <c:v>增发企业数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C0000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分领域!$A$2:$A$8</c:f>
              <c:strCache>
                <c:ptCount val="7"/>
                <c:pt idx="0">
                  <c:v>新一代
信息技术</c:v>
                </c:pt>
                <c:pt idx="1">
                  <c:v>生物</c:v>
                </c:pt>
                <c:pt idx="2">
                  <c:v>新能源</c:v>
                </c:pt>
                <c:pt idx="3">
                  <c:v>数字创意</c:v>
                </c:pt>
                <c:pt idx="4">
                  <c:v>高端装备制造</c:v>
                </c:pt>
                <c:pt idx="5">
                  <c:v>节能环保</c:v>
                </c:pt>
                <c:pt idx="6">
                  <c:v>新材料</c:v>
                </c:pt>
              </c:strCache>
            </c:strRef>
          </c:cat>
          <c:val>
            <c:numRef>
              <c:f>分领域!$B$2:$B$8</c:f>
              <c:numCache>
                <c:formatCode>General</c:formatCode>
                <c:ptCount val="7"/>
                <c:pt idx="0">
                  <c:v>21</c:v>
                </c:pt>
                <c:pt idx="1">
                  <c:v>20</c:v>
                </c:pt>
                <c:pt idx="2">
                  <c:v>7</c:v>
                </c:pt>
                <c:pt idx="3">
                  <c:v>6</c:v>
                </c:pt>
                <c:pt idx="4">
                  <c:v>9</c:v>
                </c:pt>
                <c:pt idx="5">
                  <c:v>8</c:v>
                </c:pt>
                <c:pt idx="6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1341696"/>
        <c:axId val="341340160"/>
      </c:lineChart>
      <c:valAx>
        <c:axId val="341332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41334272"/>
        <c:crosses val="autoZero"/>
        <c:crossBetween val="between"/>
      </c:valAx>
      <c:catAx>
        <c:axId val="34133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41332736"/>
        <c:crosses val="autoZero"/>
        <c:auto val="1"/>
        <c:lblAlgn val="ctr"/>
        <c:lblOffset val="100"/>
        <c:noMultiLvlLbl val="0"/>
      </c:catAx>
      <c:valAx>
        <c:axId val="34134016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41341696"/>
        <c:crosses val="max"/>
        <c:crossBetween val="between"/>
      </c:valAx>
      <c:catAx>
        <c:axId val="3413416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4134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7722222222222221"/>
          <c:y val="0.1579855643044619"/>
          <c:w val="0.44885496183206108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7B6D7-F941-47DF-BD0D-7C5BAF63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</dc:creator>
  <cp:lastModifiedBy>ll</cp:lastModifiedBy>
  <cp:revision>3</cp:revision>
  <cp:lastPrinted>2017-01-03T09:09:00Z</cp:lastPrinted>
  <dcterms:created xsi:type="dcterms:W3CDTF">2017-01-22T01:53:00Z</dcterms:created>
  <dcterms:modified xsi:type="dcterms:W3CDTF">2017-01-22T02:17:00Z</dcterms:modified>
</cp:coreProperties>
</file>